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B-4117/2015 vom 16. Januar 2017</w:t>
      </w:r>
    </w:p>
    <w:p>
      <w:r>
        <w:t>Bundesverwaltungsgericht, 2017-01-16, FR</w:t>
      </w:r>
    </w:p>
    <w:p>
      <w:r>
        <w:rPr>
          <w:b/>
        </w:rPr>
        <w:t xml:space="preserve">Quelle: </w:t>
      </w:r>
      <w:r>
        <w:t>https://mcp.opencaselaw.ch/entscheid/bvger_B-4117_2015</w:t>
      </w:r>
    </w:p>
    <w:p>
      <w:r>
        <w:t>FR: TAF B-4117/2015 du 16 janvier 2017</w:t>
      </w:r>
    </w:p>
    <w:p>
      <w:r>
        <w:t>IT: TAF B-4117/2015 del 16 gennaio 2017</w:t>
      </w:r>
    </w:p>
    <w:p>
      <w:pPr>
        <w:pStyle w:val="Heading2"/>
      </w:pPr>
      <w:r>
        <w:t>Regeste</w:t>
      </w:r>
    </w:p>
    <w:p>
      <w:r>
        <w:t>Surveillance de la révision</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LTAF en relation avec l'art. 28 al. 2 de la loi sur la surveillance de la révision du 16 décembre 2005 (LSR, RS 221.302), le Tribunal administratif fédéral est compétent pour juger des recours contre les décisions rendues par l'ASR. L'acte attaqué constitue en effet une décision au sens de l'art. 5 al. 1 PA. Le Tribunal de céans peut donc connaître de la présente affaire.</w:t>
      </w:r>
    </w:p>
    <w:p>
      <w:r>
        <w:rPr>
          <w:b/>
        </w:rPr>
        <w:t>E. 1.2</w:t>
      </w:r>
    </w:p>
    <w:p>
      <w:r>
        <w:t>Le recourant, qui a pris part à la procédure devant l'autorité inférieure, est spécialement atteint par la décision attaquée et a un intérêt digne de protection à son annulation ou à sa modification. La qualité pour recourir doit dès lors lui être reconnue (art. 48 al. 1 let. a à c PA) tant en ce qui concerne son agrément personnel que celui de son entreprise individuelle (cf. arrêt du TAF B-7872/2015 du 21 avril 2016 consid. 1).</w:t>
      </w:r>
    </w:p>
    <w:p>
      <w:r>
        <w:rPr>
          <w:b/>
        </w:rPr>
        <w:t>E. 1.3</w:t>
      </w:r>
    </w:p>
    <w:p>
      <w:r>
        <w:t>Les dispositions relatives au délai de recours, à la forme et au contenu du mémoire de recours ainsi qu'au paiement de l'avance de frais (art. 50 al. 1, 52 al. 1 et 63 al. 4 PA) sont en outre respectées. Le recours est ainsi recevable.</w:t>
      </w:r>
    </w:p>
    <w:p>
      <w:r>
        <w:rPr>
          <w:b/>
        </w:rPr>
        <w:t>E. 2</w:t>
      </w:r>
    </w:p>
    <w:p>
      <w:r>
        <w:t>La LSR règle l'agrément et la surveillance des personnes qui fournissent des prestations en matière de révision ; elle vise à garantir une exécution régulière et la qualité des prestations en matière de révision (art. 1 al. 1 et 2 LSR). À teneur de l'art. 3 al. 1 LSR, les personnes physiques et les entreprises de révision qui fournissent des prestations en matière de révision doivent être agréées. L'ASR statue notamment, sur demande, sur l'agrément des experts-réviseurs (art. 15 al. 1 let. b LSR). Elle tient un registre des personnes physiques et des entreprises de révision agréées (art. 15 al. 2 LSR). En vertu de l'art. 8 de l'ordonnance sur la surveillance de la révision du 22 août 2007 (OSRev, RS 221.302.3), une personne physique ne peut fournir à titre indépendant des prestations légalement prescrites en matière de révision que si elle est inscrite au registre du commerce en tant qu'entreprise individuelle et si elle-même ainsi que son entreprise individuelle ont été agréées par l'ASR. Selon l'art. 3 al. 2 LSR, les personnes physiques sont agréées pour une durée indéterminée tandis que les entreprises de révision - dont les entreprises individuelles (art. 2 let. b LSR) - le sont pour une durée de cinq ans ; ces dernières doivent en outre remplir les conditions fixées à l'art. 6 LSR ce qui signifie notamment que le chef de l'entreprise individuelle doit disposer de l'agrément requis (cf. arrêt du TF 2C_834/2010 du 11 mars 2011 consid. 2.2 ; Message du Conseil fédéral du 23 juin 2004 concernant la modification du code des obligations [obligation de révision dans le droit des sociétés] et la loi fédérale sur l'agrément et la surveillance des réviseurs, FF 2004 3745, 3838 [ci-après : Message LSR]). En vertu de l'art. 17 al. 1 LSR, lorsqu'une personne physique agréée ou une entreprise de révision agréée ne remplit plus les conditions d'agrément, l'autorité de surveillance peut lui retirer l'agrément pour une durée déterminée ou indéterminée. Lorsque la personne concernée est en mesure de régulariser sa situation, l'autorité de surveillance lui adresse préalablement une commination de retrait. Elle lui adresse un avertissement écrit si le retrait de l'agrément est disproportionné.</w:t>
      </w:r>
    </w:p>
    <w:p>
      <w:r>
        <w:rPr>
          <w:b/>
        </w:rPr>
        <w:t>E. 3</w:t>
      </w:r>
    </w:p>
    <w:p>
      <w:r>
        <w:t>Estimant que le recourant ne remplissait plus les conditions d'agrément car il ne disposait plus d'une réputation irréprochable en raison de la violation de son devoir d'indépendance, l'ASR a révoqué son agrément ainsi que celui de son entreprise individuelle pour la durée de deux ans. Le recourant conteste cette appréciation en expliquant que son indépendance n'avait jamais été compromise et que les faits reprochés ne remettaient pas en cause sa réputation.</w:t>
      </w:r>
    </w:p>
    <w:p>
      <w:r>
        <w:rPr>
          <w:b/>
        </w:rPr>
        <w:t>E. 3.1.1</w:t>
      </w:r>
    </w:p>
    <w:p>
      <w:r>
        <w:t>Afin d'être agréée en qualité d'expert-réviseur, une personne physique doit satisfaire aux exigences en matière de formation et de pratique professionnelles et jouir d'une réputation irréprochable (art. 4 al. 1 LSR). L'art. 4 al. 1 OSRev précise que, pour être agréé, le requérant doit jouir d'une réputation irréprochable et aucune autre circonstance personnelle ne doit indiquer qu'il n'offre pas toutes les garanties d'une activité de révision irréprochable. L'art. 4 al. 2 OSRev prescrit que sont notamment prises en considération les condamnations pénales dont l'inscription au casier judiciaire central n'a pas été éliminée (let. a) et l'existence d'actes de défaut de biens (let. b). Les notions juridiques indéterminées que constituent la réputation irréprochable ainsi que la garantie d'une activité de révision irréprochable doivent être interprétées au regard des tâches spécifiques de l'organe de révision et à la lumière des dispositions similaires figurant dans la législation sur la surveillance des marchés financiers ; l'activité de révision irréprochable nécessite notamment des compétences professionnelles et un comportement correct dans les affaires. Sous cette dernière dénomination, il faut comprendre en premier lieu le respect de l'ordre juridique, non seulement du droit de la révision, mais également du droit civil et pénal, de même que l'observation du principe de la bonne foi (cf. arrêt du TF 2C_834/2010 du 11 mars 2011 consid. 3.2).</w:t>
      </w:r>
    </w:p>
    <w:p>
      <w:r>
        <w:rPr>
          <w:b/>
        </w:rPr>
        <w:t>E. 3.1.2</w:t>
      </w:r>
    </w:p>
    <w:p>
      <w:r>
        <w:t>De jurisprudence constante, les impératifs en matière d'indépendance figurent parmi les normes essentielles de la profession de réviseur dont le respect s'avère manifestement déterminant afin de remplir l'exigence d'une réputation irréprochable (cf. arrêt du TAF B-853/2011 du 27 juillet 2012 consid. 4.2 et les réf. cit.). L'indépendance de l'organe de révision est régie par les art. 728 (contrôle ordinaire) et 729 (contrôle restreint) CO qui lui imposent d'être indépendant et de former son appréciation en toute objectivité, précisant que son indépendance ne doit être restreinte ni dans les faits ni en apparence. En ce qui concerne en particulier l'indépendance en apparence, partant de la prémisse que l'impartialité ainsi que l'intégrité effectives du réviseur se révèlent des réalités purement subjectives et difficilement vérifiables par les tiers, la législation tend à éviter toute situation pouvant éveiller, du point de vue d'un observateur moyen se fondant sur son expérience générale de la vie, l'impression d'un rapport de dépendance ; si le fait que l'indépendance d'un réviseur soit insuffisante en apparence ne permet pas, à lui seul, de conclure à un manque d'impartialité contraire à l'éthique professionnelle, il n'en reste pas moins que cette apparence doit conduire à exclure le réviseur en question du processus de révision de la société concernée. Lorsqu'il se trouve dans une telle situation, le réviseur se doit de renoncer au mandat y afférent (cf. arrêt du TAF B-6251/2012 du 8 septembre 2014 consid. 3.1.2 et les réf. cit.). Concrétisant le principe général, l'art. 728 al. 2 CO contient une liste non exhaustive de situations incompatibles avec l'indépendance de l'organe de révision qui ont valeur de référence pour la révision restreinte également (cf. arrêt du TAF B-853/2011 du 27 juillet 2012 consid. 4.2.3 s. et les réf. cit.) : en font partie l'appartenance au conseil d'administration, l'exercice d'autres fonctions décisionnelles au sein de la société révisée ou l'existence de rapports de travail avec elle (art. 728 al. 2 ch. 1 CO), une relation étroite entre la personne qui dirige la révision et l'un des membres du conseil d'administration, une autre personne ayant des fonctions décisionnelles ou un actionnaire important (art. 728 al. 2 ch. 3 CO) ainsi que l'acceptation d'un mandat qui entraîne une dépendance économique (art. 728 al. 2 ch. 5 CO) ; selon l'art. 728 al. 3 CO, si l'organe de révision est une société de personnes ou une personne morale, ces dispositions s'appliquent également aux membres de l'organe supérieur de direction ou d'administration et aux autres personnes qui exercent des fonctions décisionnelles. L'indépendance n'est pas garantie non plus lorsque des personnes proches de l'organe de révision, de personnes participant à la révision, de membres de l'organe supérieur de direction ou d'administration ou d'autres personnes qui exercent des fonctions décisionnelles ne remplissent pas les exigences relatives à l'indépendance (art. 728 al. 5 CO). Les dispositions relatives à l'indépendance s'étendent également aux sociétés qui sont réunies sous une direction unique avec la société soumise au contrôle ou l'organe de révision (art. 728 al. 6 CO).</w:t>
      </w:r>
    </w:p>
    <w:p>
      <w:r>
        <w:rPr>
          <w:b/>
        </w:rPr>
        <w:t>E. 3.1.3</w:t>
      </w:r>
    </w:p>
    <w:p>
      <w:r>
        <w:t>Dans l'examen de la réputation et de la garantie d'une activité de révision irréprochables tout comme dans le choix de la mesure appropriée lorsque ces conditions ne sont pas remplies, notamment s'agissant du retrait de l'agrément, l'ASR dispose d'un large pouvoir d'appréciation qu'elle est néanmoins tenue d'exercer dans le respect du principe de la proportionnalité ; en d'autres termes, l'exclusion d'une réputation irréprochable présuppose toujours une certaine gravité des actes reprochés (cf. arrêts du TF 2C_121/2016 du 14 novembre 2016 consid. 3.1 et 2C_709/2012 du 20 juin 2013 consid. 4.4). La réputation irréprochable constitue la règle ; les éléments favorables sous l'angle de la réputation - comme par exemple la réparation du dommage, le rétablissement d'un état conforme au droit ou le caractère unique de la faute commise - doivent certes être pris en considération lorsque l'autorité inférieure en a connaissance, mais ils n'influencent pas automatiquement positivement l'évaluation de la réputation ; ils doivent en principe être appréciés de manière neutre, cette situation s'apparentant à l'absence d'antécédents en matière pénale (cf. arrêt du TAF B-6251/2012 du 8 septembre 2014 consid. 3.1.3 et les réf. cit.). L'ASR déterminera ensuite le pronostic susceptible d'être posé à ce sujet pour l'avenir (cf. arrêt du TAF B-4251/2012 du 23 septembre 2013 consid. 4.1.1).</w:t>
      </w:r>
    </w:p>
    <w:p>
      <w:r>
        <w:rPr>
          <w:b/>
        </w:rPr>
        <w:t>E. 3.2.1</w:t>
      </w:r>
    </w:p>
    <w:p>
      <w:r>
        <w:t>En l'espèce, les actions de C._______ sont entièrement détenues par E._______ qui de son côté est contrôlée par D._______ ; les deux sociétés se trouvent donc manifestement sous une direction unique (groupe de sociétés) au sens de l'art. 728 al. 6 CO (cf. Message LSR, 3796). Partant, tout comme C._______, E._______ devait elle aussi se conformer au devoir d'indépendance ; or, tel n'était pas le cas dès lors que son administrateur et actionnaire siégeait simultanément au conseil d'administration de huit sociétés révisées par C._______, cas de figure correspondant à celui de l'art. 728 al. 2 ch. 1 CO en lien avec l'al. 3 du même article. Par conséquent, en tant que réviseur responsable, directeur et administrateur de C._______, le recourant n'aurait pas dû accepter ces mandats de révision. Considérant en outre que cette constellation - le recourant agissant comme réviseur de sociétés dont D._______ était l'administrateur - se présentait dans onze mandats, soit les huit précités auxquels venaient s'ajouter les trois exécutés par B._______, il peut être conclu à l'existence d'une relation d'affaires étroite entre ces deux personnes incompatible avec le devoir d'indépendance de l'organe de révision (art. 728 al. 2 ch. 3 CO). Comme l'indépendance doit aussi être garantie en apparence, la nature réelle de sa relation avec D._______ n'est pas seule déterminante ; il ne peut ainsi rien conclure en sa faveur en alléguant qu'il ne rencontrait ce dernier que rarement et n'entretenait pas de rapports significatifs avec lui. Même si l'adresse commune ne devait provenir que d'un hasard, elle renforce l'impression d'une relation étroite entre ces deux personnes. Par ailleurs, compte tenu du contrôle dont D._______ bénéficie sur C._______, il lui était possible de mettre fin au mandat d'administrateur du recourant et par suite aux autres mandats de celui-ci en tant que directeur et de réviseur responsable ; en tant qu'administrateur des trois sociétés révisées par B._______, il pouvait également influer sur le choix de l'organe de révision par l'assemblée générale. Les pièces au dossier ne permettent pas de conclure clairement à une dépendance économique réelle du recourant envers D._______ au sens de l'art. 728 al. 2 ch. 5 CO : en particulier, les montants individuels des honoraires perçus pour les diverses révisions ainsi que les autres activités du recourant ne sont pas connus. Cependant, cette situation laissait apparaître - du moins en apparence, en se fondant sur le point de vue d'un observateur moyen - le risque de voir le recourant influencé dans ses décisions en lien avec la révision de sociétés pour lesquelles D._______ était administrateur. En effet, selon les déclarations du recourant, B._______ a effectué 47 révisions en 2013 et 45 en 2014. Certes, comme il le relève, seuls trois mandats de B._______ sont litigieux en l'espèce. En y additionnant cependant les huit autres exercés dans le cadre de C._______ et en supposant qu'il ne se charge pas d'autres révisions, le nombre de cas problématiques dépasse un quart des révisions effectuées ; cet état de fait est susceptible d'éveiller un doute quant à l'indépendance du recourant.</w:t>
      </w:r>
    </w:p>
    <w:p>
      <w:r>
        <w:rPr>
          <w:b/>
        </w:rPr>
        <w:t>E. 3.2.2</w:t>
      </w:r>
    </w:p>
    <w:p>
      <w:r>
        <w:t>Les arguments de celui-ci à l'encontre des conclusions de l'ASR ne convainquent pas : se référant à des arrêts du Tribunal de céans confirmant des mesures de retrait de l'agrément pour défaut d'indépendance, il explique que les circonstances de son cas différaient clairement de celles rencontrées dans ces affaires ; en particulier, il déclare ne jamais avoir exercé simultanément la fonction de réviseur et celle d'administrateur ou de directeur de la société révisée et ne pas partager avec D._______ des fonctions telles qu'administrateur ou actionnaire. Or, le fait que le réviseur lui-même exerce des fonctions décisionnelles dans la société révisée (art. 728 al. 2 ch. 1 CO) ne constitue que l'un des cas de figure énumérés à l'art. 728 CO. Comme il a été exposé plus haut (cf. supra consid. 3.2.1), les mandats de révision litigieux souffraient d'un défaut d'indépendance pour plusieurs raisons qu'il appartenait au recourant, en tant qu'administrateur de C._______ tout comme en sa qualité de responsable de la révision, d'identifier et d'éviter. En outre, il n'est pas nécessaire que D._______ et lui siègent ensemble dans un conseil d'administration ou soient coactionnaires afin de retenir une relation étroite - du moins en apparence - entre les deux. Compte tenu du manque d'indépendance constaté pour les motifs précités, point n'est besoin d'examiner plus avant les autres bases légales mentionnées par l'ASR qui sont toutes liées au rôle de D._______.</w:t>
      </w:r>
    </w:p>
    <w:p>
      <w:r>
        <w:rPr>
          <w:b/>
        </w:rPr>
        <w:t>E. 3.2.3</w:t>
      </w:r>
    </w:p>
    <w:p>
      <w:r>
        <w:t>En dépit de cette situation irrégulière en termes d'indépendance, le recourant n'a pas seulement accepté les mandats litigieux mais a aussi signé lui-même plusieurs rapports de révision en attestant de son indépendance, en particulier ceux de G._______ SA et de F._______ SA pour les comptes de l'exercice 2013 ainsi que de H._______ SA pour 2011 et 2012. En outre, dans un courrier du 1er juillet 2014 adressé à l'ASR, il a déclaré avoir effectué la révision de certaines parmi les autres sociétés pour le compte de C._______ mais ne pas avoir encore signé les rapports car il avait demandé des compléments d'information. Le recourant semble ainsi avoir entamé une coopération avec D._______ dont on doit supposer qu'elle se serait poursuivie sans l'intervention de l'ASR. Pour cette raison et compte tenu du fait que la réputation et la garantie d'une activité irréprochable doivent être examinées sous la forme d'un pronostic pour l'avenir, le fait que la situation irrégulière n'ait duré que neuf mois ne peut pas être retenue en sa faveur dans une mesure importante. Il a certes régularisé la situation sans trop tarder ; néanmoins, il entendait dans une première étape, même après le courriel de l'ASR du 6 mai 2014 l'avertissant de l'irrégularité présumée, poursuivre la révision des sociétés concernées. Selon le registre du commerce, B._______ et D._______ sont d'ailleurs toujours, respectivement, organe de révision et administrateur de trois sociétés. S'il n'a effectivement pas exercé lui-même deux fonctions incompatibles du point de vue de l'indépendance, les manquements ont cependant touché plusieurs sociétés indépendantes les unes des autres et vont donc au-delà d'un cas isolé. L'irrégularité de la situation se révélait suffisamment manifeste pour que le recourant mette immédiatement fin à son rôle dans les mandats litigieux faute de les avoir refusés en premier lieu - et ne décide pas de les poursuivre comme il entendait le faire dans une première étape.</w:t>
      </w:r>
    </w:p>
    <w:p>
      <w:r>
        <w:rPr>
          <w:b/>
        </w:rPr>
        <w:t>E. 3.3</w:t>
      </w:r>
    </w:p>
    <w:p>
      <w:r>
        <w:t>En conclusion, force est donc de constater que le recourant n'a pas respecté les exigences légales en matière d'indépendance dans onze mandats alors que cela lui incombait en tant que réviseur responsable ainsi que comme, respectivement, administrateur et directeur de C._______ et chef de l'entreprise individuelle B._______. En agissant de la sorte, le recourant a contrevenu dans plusieurs cas à un devoir essentiel auquel l'organe de révision se voit soumis. Par conséquent, il ne peut lui être attesté à l'état actuel qu'il bénéficie d'une réputation irréprochable et offre la garantie d'une activité de révision irréprochable en tant qu'expert-réviseur.</w:t>
      </w:r>
    </w:p>
    <w:p>
      <w:r>
        <w:rPr>
          <w:b/>
        </w:rPr>
        <w:t>E. 4</w:t>
      </w:r>
    </w:p>
    <w:p>
      <w:r>
        <w:t>Il reste à examiner la proportionnalité de la mesure de retrait de l'agrément prononcée par l'ASR. Celle-ci a conclu à une faute de gravité moyenne compte tenu de l'importance que revêt l'indépendance de l'organe de révision tout en retenant en faveur du recourant le fait que la situation litigieuse s'est déroulée sur une période relativement courte et qu'il l'avait rapidement régularisée. Sur cette base, elle a estimé qu'il se justifiait de retirer l'agrément pour une durée de deux ans. Le recourant conteste cette mesure en expliquant que, en raison de son âge, le retrait de l'agrément le priverait définitivement de son métier ; il ajoute que, comme l'ASR l'a relevé, il avait rapidement régularisé une situation qui n'avait duré que neuf mois ; il conclut, à titre subsidiaire, que seul le prononcé d'un avertissement s'avérerait compatible avec le principe de la proportionnalité.</w:t>
      </w:r>
    </w:p>
    <w:p>
      <w:r>
        <w:rPr>
          <w:b/>
        </w:rPr>
        <w:t>E. 4.1</w:t>
      </w:r>
    </w:p>
    <w:p>
      <w:r>
        <w:t>Ledit principe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la proportionnalité au sens étroit dont l'examen implique une pesée des intérêts ; cf. ATF 142 I 76 consid. 3.5.1).</w:t>
      </w:r>
    </w:p>
    <w:p>
      <w:r>
        <w:rPr>
          <w:b/>
        </w:rPr>
        <w:t>E. 4.1.1</w:t>
      </w:r>
    </w:p>
    <w:p>
      <w:r>
        <w:t>La jurisprudence a admis que le retrait de l'agrément des réviseurs ne disposant pas d'une réputation irréprochable et n'offrant pas la garantie d'une activité de révision irréprochable contribuait à accroître la confiance des parties prenantes et des personnes intéressées dans la qualité et la crédibilité des comptes et de la révision (cf. arrêt du TF 2C_505/2010 du 7 avril 2011 consid. 4.3, arrêt du TAF B-4251/2012 du 23 septembre 2013 consid. 5.3.2). Aussi la mesure en cause s'avère indubitablement propre à atteindre cet objectif.</w:t>
      </w:r>
    </w:p>
    <w:p>
      <w:r>
        <w:rPr>
          <w:b/>
        </w:rPr>
        <w:t>E. 4.1.2</w:t>
      </w:r>
    </w:p>
    <w:p>
      <w:r>
        <w:t>S'agissant de la nécessité de la mesure, il convient de rappeler que la réputation irréprochable ne constitue généralement pas une condition d'agrément dont le défaut peut être réparé avec effet immédiat en rétablissant l'ordre légal (cf. arrêt du TF 2C_121/2016 du 14 novembre 2016 consid. 3.2.4, arrêt du TAF B-4251/2012 du 23 septembre 2013 consid. 5.3.3). Le retour à un état conforme - en l'espèce par le renoncement aux mandats litigieux - pourra certes être pris en compte par l'autorité dans le sens d'une circonstance atténuante ; en raison du dommage déjà causé à la réputation du réviseur, cette étape ne constituera toutefois qu'une condition nécessaire mais non suffisante en vue de la restitution de l'agrément. En l'occurrence, la gravité des manquements constatés portent atteinte à la réputation du recourant ; il a en effet manqué à son devoir d'indépendance dans onze cas en révisant, dans les faits, les comptes de sociétés administrées par la personne qui, de manière indirecte, le mandatait dans le cadre de ses activités pour C._______. Il n'a mis fin à cette situation que plusieurs mois après la première communication de l'ASR du 6 mai 2014 l'avertissant que son indépendance semblait compromise. Dans ces circonstances, le prononcé préalable d'une commination de retrait ne s'avérait guère envisageable car le recourant ne pouvait plus rétablir sa réputation irréprochable en tant que condition d'agrément (art. 17 al. 1 2ème phrase LSR ; cf. arrêt du TAF B-4251/2012 du 23 septembre 2013 consid. 5.3.3). Il convient de rappeler dans ce contexte que l'ASR n'exerce pas une surveillance systématique des activités de révision ; la découverte de manquements découle souvent d'un hasard ou intervient, comme en l'espèce, grâce à l'intervention d'une autre autorité telle que la FINMA. Par conséquent, admettre trop facilement une commination de retrait - ou le cas échéant un avertissement écrit - comme mesure appropriée en cas de violation du devoir d'indépendance permettrait à des réviseurs de ne pas s'y conformer, volontairement ou par négligence, jusqu'à ce que, éventuellement, l'ASR le découvre ; ils pourraient alors régulariser la situation sans risquer le retrait de l'agrément. Une telle conséquence ne s'avère pas compatible avec l'importance des intérêts publics poursuivis par les exigences élevées auxquelles est soumise l'activité de réviseur ou d'expert-réviseur - dont celles relatives à l'indépendance - et visant à assurer la qualité de leurs prestations (cf. arrêt du TF 2C_709/2012 du 20 juin 2013 consid. 4.3). L'ASR explique que, pour décider de la mesure à prendre et en vue d'améliorer la transparence, elle se fonde sur des fourchettes déterminées en fonction de la gravité de la faute : les violations légères entraînent un avertissement, les violations de gravité moyenne conduisent à un retrait de l'agrément pour une durée comprise entre une année et deux ans, celles qualifiées de graves ou de très graves mènent à un retrait de, respectivement, entre trois et quatre ans ou entre cinq et six ans. Ce classement apparaît adéquat en vue d'assurer la proportionnalité des mesures ainsi que l'égalité de traitement ; quant aux périodes de retrait définies, en particulier celle attachée aux violations de gravité moyenne, elles s'avèrent conformes à la pratique déployée jusqu'ici. La diversité des situations qui se présentent ne permet pas une schématisation plus précise. En l'espèce, l'ASR a jugé que la gravité des manquements constatés dépassait le seuil d'une violation légère de sorte que seul un retrait de l'agrément - et non pas un avertissement écrit - semblait approprié. Comme il a déjà été exposé, les manquements constatés vont en effet au-delà d'une faute isolée. On se trouve en présence d'une faute de gravité moyenne justifiant le retrait de l'agrément (cf. infra consid. 4.1.3 pour ce qui est de la proportionnalité au sens étroit). Si la durée de deux ans peut sembler sévère, elle reste néanmoins dans le cadre de la marge fixée par l'ASR dont le pouvoir d'appréciation - également lors de la fixation de la durée du retrait (cf. arrêt du TAF B-7872/2015 du 21 avril 2016 consid. 4.2.3) - doit être respecté. L'écoulement de ce laps de temps devrait permettre au recourant de rétablir la confiance en sa capacité à éviter les situations incompatibles avec le devoir d'indépendance de l'organe de révision (cf. arrêt du TF 2C_121/2016 du 14 novembre 2016 consid. 3.2.4), objectif qu'un avertissement écrit ne permet pas de réaliser. Il s'ensuit dès lors que le retrait de l'agrément pour la durée de deux ans se révèle nécessaire dans l'optique du but à atteindre.</w:t>
      </w:r>
    </w:p>
    <w:p>
      <w:r>
        <w:rPr>
          <w:b/>
        </w:rPr>
        <w:t>E. 4.1.3</w:t>
      </w:r>
    </w:p>
    <w:p>
      <w:r>
        <w:t>En ce qui concerne la proportionnalité au sens étroit, il y a lieu de retenir que l'intérêt public à garantir la qualité des prestations en matière de révision l'emporte sur celui du recourant à ne pas se voir retirer l'agrément pendant deux ans. Il lui reste en effet loisible de poursuivre son activité dans le domaine de la révision avec certaines restrictions jusqu'à ce que l'agrément lui soit octroyé à nouveau (cf. arrêt du TAF B-6251/2012 du 8 septembre 2014 consid. 4.1 et les réf. cit.). En outre, en moyenne des trois dernières années, environ 15 % de son activité dans le cadre de la B._______ ne relevait pas de la révision. Enfin, il dispose de la possibilité, en tant qu'actionnaire unique et membre du conseil d'administration de la fiduciaire dirigée par son fils, de fournir des services dans ce cadre ; le fait que les prestations non concernées par l'agrément aient été transférées à ce dernier ne l'empêche pas d'y participer ou de reprendre des mandats. Le recourant ne démontre pas que le chiffre d'affaires de cette fiduciaire ne suffirait pas à lui fournir du travail ; même si tel devait être le cas à l'état actuel et que le recourant ne parvenait pas à compenser entièrement les mandats auxquels il devra renoncer faute d'agrément, cette conséquence ne l'emporte pas sur l'intérêt public précité. Ainsi, contrairement à ce que le recourant allègue, le retrait de l'agrément ne revient pas à le priver de son métier mais le restreint uniquement dans le choix des tâches qu'il peut accepter. Dès lors, son âge n'entre pas en ligne de compte ; sa situation ne diffère en effet pas sensiblement de celle d'une personne plus jeune qui doit renoncer pendant une période déterminée à la prestation de certains services.</w:t>
      </w:r>
    </w:p>
    <w:p>
      <w:r>
        <w:rPr>
          <w:b/>
        </w:rPr>
        <w:t>E. 4.2</w:t>
      </w:r>
    </w:p>
    <w:p>
      <w:r>
        <w:t>Compte tenu de ce qui précède, l'atteinte à la liberté économique (art. 27 Cst.) du recourant respecte les exigences constitutionnelles ancrées à l'art. 36 Cst. : la mesure prononcée s'avère conforme au principe de la proportionnalité, repose sur une base légale et poursuit un intérêt public (cf. arrêts du TAF B-6251/2012 du 8 septembre 2014 consid. 4.3 et B-4251/2012 du 23 septembre 2013 consid. 5.2).</w:t>
      </w:r>
    </w:p>
    <w:p>
      <w:r>
        <w:rPr>
          <w:b/>
        </w:rPr>
        <w:t>E. 4.3</w:t>
      </w:r>
    </w:p>
    <w:p>
      <w:r>
        <w:t>Il appert ainsi que le retrait de l'agrément à l'encontre du recourant pour une durée de deux ans s'avère justifié, respecte le principe de la proportionnalité et ne constitue pas une restriction inadmissible à sa liberté économique. Quant au retrait de l'agrément de l'entreprise individuelle, il constitue la suite logique du retrait de l'agrément du recourant (art. 8 OSRev ; cf. arrêt du TAF B-7872/2015 du 21 avril 2016 consid. 3.9).</w:t>
      </w:r>
    </w:p>
    <w:p>
      <w:r>
        <w:rPr>
          <w:b/>
        </w:rPr>
        <w:t>E. 5</w:t>
      </w:r>
    </w:p>
    <w:p>
      <w:r>
        <w:t>Sur le vu de l'ensemble de ce qui précède, c'est à bon droit que l'autorité inférieure a considéré que le recourant ne satisfaisait pas à l'exigence d'une réputation irréprochable et lui a retiré l'agrément en qualité d'expert-réviseur ainsi que celui de son entreprise individuelle pour la durée de deux années.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3'000 francs, doivent être intégralement mis à sa charge. Ils seront compensés par l'avance de frais de 3'000 francs versée par le recourant dès l'entrée en force du présent arrêt.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