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B-4058/2016 vom 9. August 2018</w:t>
      </w:r>
    </w:p>
    <w:p>
      <w:r>
        <w:t>Bundesverwaltungsgericht, 2018-08-09, DE</w:t>
      </w:r>
    </w:p>
    <w:p>
      <w:r>
        <w:rPr>
          <w:b/>
        </w:rPr>
        <w:t xml:space="preserve">Quelle: </w:t>
      </w:r>
      <w:r>
        <w:t>https://mcp.opencaselaw.ch/entscheid/bvger_B-4058_2016</w:t>
      </w:r>
    </w:p>
    <w:p>
      <w:r>
        <w:t>FR: TAF B-4058/2016 du 9 août 2018</w:t>
      </w:r>
    </w:p>
    <w:p>
      <w:r>
        <w:t>IT: TAF B-4058/2016 del 9 agosto 2018</w:t>
      </w:r>
    </w:p>
    <w:p>
      <w:pPr>
        <w:pStyle w:val="Heading2"/>
      </w:pPr>
      <w:r>
        <w:t>Regeste</w:t>
      </w:r>
    </w:p>
    <w:p>
      <w:r>
        <w:t>Arbeitnehmerschutz</w:t>
      </w:r>
    </w:p>
    <w:p>
      <w:pPr>
        <w:pStyle w:val="Heading2"/>
      </w:pPr>
      <w:r>
        <w:t>Erwägungen</w:t>
      </w:r>
    </w:p>
    <w:p>
      <w:r>
        <w:rPr>
          <w:b/>
        </w:rPr>
        <w:t>E. 1.1</w:t>
      </w:r>
    </w:p>
    <w:p>
      <w:r>
        <w:t>Die vorliegende Beschwerde richtet sich gegen die Verfügung vom 13. Juni 2016 der Vorinstanz. Es handelt sich um eine Verfügung im Sinne von Art. 5 des Verfahrensgesetzes vom 20. Dezember 1968 (VwVG, SR. 172.021; vgl. Urteil des BVGer B-3424/2015 vom 9. Dezember 2016 E. 1.1), welche der Beschwerde an das Bundesverwaltungsgericht unterliegt (Art. 31 und Art. 33 Bst. d des Verwaltungsgerichtsgesetzes vom 17. Juni 2005 [VGG, SR 173.32]). Damit ist das Bundesverwaltungsgericht zuständig.</w:t>
      </w:r>
    </w:p>
    <w:p>
      <w:r>
        <w:rPr>
          <w:b/>
        </w:rPr>
        <w:t>E. 1.2</w:t>
      </w:r>
    </w:p>
    <w:p>
      <w:r>
        <w:t>Die Beschwerdeführerin hat am vorinstanzlichen Verfahren teilgenommen, ist als Adressatin der angefochtenen Verfügung durch diese besonders berührt und hat ein schutzwürdiges Interesse an deren Aufhebung (Art. 48 Abs. 1 VwVG). Sie ist daher zur Beschwerdeführung legitimiert. Die Eingabefrist sowie die Anforderungen an Form und Inhalt der Beschwerde sind gewahrt (Art. 50 und Art. 52 VwVG), der Kostenvorschuss wurde fristgerecht bezahlt (Art. 63 Abs. 4 VwVG), und die übrigen Sachurteilsvoraussetzungen sind erfüllt. Demzufolge ist auf die Beschwerde einzutreten.</w:t>
      </w:r>
    </w:p>
    <w:p>
      <w:r>
        <w:rPr>
          <w:b/>
        </w:rPr>
        <w:t>E. 2</w:t>
      </w:r>
    </w:p>
    <w:p>
      <w:r>
        <w:t>Arbeitgeber und Arbeitnehmer, auf die der Geltungsbereich des Arbeitsvertrags ausgedehnt wird, können jederzeit bei der zuständigen Behörde die Einsetzung eines besonderen, von den Vertragsparteien unabhängigen Kontrollorgans an Stelle der im Vertrag vorgesehenen Kontrollorgane verlangen (Art. 6 Abs. 1 des Bundesgesetzes über die Allgemeinverbindlicherklärung von Gesamtarbeitsverträgen vom 28. September 1956 [AVEG, SR 221.215.331]).</w:t>
      </w:r>
    </w:p>
    <w:p>
      <w:r>
        <w:rPr>
          <w:b/>
        </w:rPr>
        <w:t>E. 3.1</w:t>
      </w:r>
    </w:p>
    <w:p>
      <w:r>
        <w:t>Mit der Einsetzung eines besonderen Kontrollorgans nach Art. 6 Abs. 1 AVEG soll verhindert werden, dass Aussenseiter gegen ihren Willen der verbandlichen Kontrolle unterstellt werden (vgl. Urteil des BVGer B-3424/2015 vom 9. Dezember 2016 E. 2.1, mit weiteren Hinweisen).</w:t>
      </w:r>
    </w:p>
    <w:p>
      <w:r>
        <w:rPr>
          <w:b/>
        </w:rPr>
        <w:t>E. 3.2</w:t>
      </w:r>
    </w:p>
    <w:p>
      <w:r>
        <w:t>Ob und inwieweit die Beschwerdeführerin aufgrund ihrer Verbandsmitgliedschaften in den - nach Art. 60 ff. des Schweizerischen Zivilgesetzbuchs vom 10. Dezember 1907 (ZGB, SR 210) privatrechtlich ausgestalteten - Vereinen SVZ und VSSM durch den GAV gebunden ist, betrifft ihre zivilrechtliche Stellung (vgl. BGE 118 II 528 E. 2.a). Ungeachtet dessen steht die Frage in einem verwaltungsrechtlichen Zusammenhang, zumal die durch die zuständige Behörde nach Art. 20 AVEG anzuordnende Einsetzung eines besonderen Kontrollorgans nach Art. 6 Abs. 1 AVEG, welche eine Aussenseiterstellung voraussetzt, öffentlich-rechtlicher Natur und dem öffentlichen Recht zuzuordnen ist (vgl. BGE 124 III 478 E. 2; Urteil des BVGer B-3424/2015 vom 9. Dezember 2016 E. 1.1.2, mit Verweisen). Daraus ergibt sich zugleich, dass das Bundesverwaltungsgericht die gegenständliche, an und für sich zivilrechtliche Beurteilung grundsätzlich vornehmen kann - umso mehr als die Zivilinstanz noch keinen Entscheid gefällt, sondern das Verfahren einstweilen sistiert hat (vgl. Urteil des BVGer B-6065/2015 vom 6. Mai 2016 E. 1.2.8 f.; Thomas Flückiger, in: Waldmann/Weissenberger [Hrsg.], Praxiskommentar Verwaltungsverfahrensgesetz, 2. Aufl. 2016, Art. 7 Rz. 38).</w:t>
      </w:r>
    </w:p>
    <w:p>
      <w:r>
        <w:rPr>
          <w:b/>
        </w:rPr>
        <w:t>E. 3.3</w:t>
      </w:r>
    </w:p>
    <w:p>
      <w:r>
        <w:t>Vorliegend ist derweil zu erwägen, dass eine Beurteilung durch das Bundesverwaltungsgericht die Zivilinstanz nicht bindet (vgl. Häfelin/Müller/Uhlmann, Allgemeines Verwaltungsrecht, 7. Aufl. 2016, Rz. 1758) und das einstweilen sistierte Verfahren vor dem Bezirksgericht Y._______ ebenso wenig obsolet machen würde. Bei einer Verneinung der Aussenseiterstellung im Verwaltungsverfahren wäre die Duldungspflicht alleweil durch die Zivilinstanz zu beurteilen. Der öffentlich-rechtlichen Einsetzung eines besonderen Kontrollorgans nach Art. 6 Abs. 1 AVEG kommt gegenüber einer zivilgerichtlichen Duldungsklage weiter kein grundsätzlicher Vorrang zu. Die zivilrechtliche Frage ist und bleibt ebendort Streitgegenstand, und von deren Beantwortung ist abhängig, ob die Beschwerdeführerin die Lohnbuchkontrolle für die Zeitperiode vom 1. September 2013 bis 30. September 2014 durch die A._______ GmbH zu dulden hat. Alleine aufgrund des gemeinsamen Antrags der Beschwerdeführerin und der Beschwerdegegnerin vom 24. Februar 2016 auf Sistierung des Verfahrens vor dem Bezirksgericht Y._______ besteht unter Berücksichtigung der Beschwerdeantwort vom 12. September 2016 denn auch keine hinreichende Gewissheit, dass die Beschwerdegegnerin ihre zivilrechtliche Klage im Anschluss an die Einsetzung eines besonderen Kontrollorgans nach Art. 6 Abs. 1 AVEG zurückzuziehen gedächte. Letztere könnte folglich zu widersprüchlichen Entscheidungen und einem positiven Zuständigkeitskonflikt führen, wenn die Zivilinstanz die Aussenseiterstellung der Beschwerdeführerin in Ausübung ihrer pflichtgemässen Kognition anders beurteilen sollte als sie zuvor im verwaltungsrechtlichen Verfahren beurteilt worden ist.</w:t>
      </w:r>
    </w:p>
    <w:p>
      <w:r>
        <w:rPr>
          <w:b/>
        </w:rPr>
        <w:t>E. 3.4</w:t>
      </w:r>
    </w:p>
    <w:p>
      <w:r>
        <w:t>Das Bundesverwaltungsgericht erachtet es in der vorliegenden ausserordentlichen Konstellation infolgedessen weder als eine sachgerechte Auslegung des Normgefüges noch der Verfahrensökonomie eventuell zuträglich, die zivilrechtliche Aussenseiterstellung der Beschwerdeführerin im Verfahren nach Art. 6 Abs. 1 AVEG gesondert und der Zivilinstanz materiell vorgreifend zu beurteilen. Die vorinstanzliche Verfügung vom 13. Juni 2016 ist deswegen ohne anderweitige Anordnungen aufzuheben; weitergehend ist die Beschwerde abzuweisen. Sofern das Bezirksgericht Y._______ die Aussenseiterstellung der Beschwerdeführerin bejahen sollte, würde ein erneuter Antrag auf Einsetzung eines besonderen Kontrollorgans nach Art. 6 Abs. 1 AVEG von der Vorinstanz im Lichte der Verfahrensgeschichte beurteilt werden.</w:t>
      </w:r>
    </w:p>
    <w:p>
      <w:r>
        <w:rPr>
          <w:b/>
        </w:rPr>
        <w:t>E. 3.5</w:t>
      </w:r>
    </w:p>
    <w:p>
      <w:r>
        <w:t>Damit kann zugleich in diesem Verfahren offen bleiben, ob das Begehren der Beschwerdeführerin um Einsetzung eines besonderen Kontrollorgans in ihrem Schreiben vom 23. Februar 2016 an die Vorinstanz in zeitlicher Hinsicht zulässig war.</w:t>
      </w:r>
    </w:p>
    <w:p>
      <w:r>
        <w:rPr>
          <w:b/>
        </w:rPr>
        <w:t>E. 4</w:t>
      </w:r>
    </w:p>
    <w:p>
      <w:r>
        <w:t>Bei diesem Ausgang des Verfahrens ist die Beschwerdeführerin als überwiegend obsiegende Partei anzusehen, weshalb ihr keine Verfahrenskosten aufzuerlegen sind; vorliegend rechtfertigt es sich, auch der Beschwerdegegnerin keine Verfahrenskosten aufzuerlegen (Art. 63 Abs. 1 VwVG). Vorinstanzen werden keine Verfahrenskosten auferlegt (Art. 63 Abs. 2 VwVG).</w:t>
      </w:r>
    </w:p>
    <w:p>
      <w:r>
        <w:rPr>
          <w:b/>
        </w:rPr>
        <w:t>E. 5.1</w:t>
      </w:r>
    </w:p>
    <w:p>
      <w:r>
        <w:t>Eine teilweise obsiegende Partei hat Anspruch auf eine reduzierte Parteientschädigung für die ihr erwachsenen notwendigen Kosten (vgl. Art. 7 des Reglements vom 21. Februar 2008 über die Kosten und Entschädigungen vor dem Bundesverwaltungsgericht [VGKE, SR 173.320]). Die Parteientschädigung umfasst die Kosten der Vertretung sowie allfällige weitere notwendige Auslagen der Partei (vgl. Art. 8 VGKE). Die Beschwerdeführerin war im Verfahren vor dem Bundesverwaltungsgericht vertreten und hat eine Kostennote eingereicht. Die Kostennote umfasst derweil das Honorar für die anwaltliche Beratung sowie Spesen im Zeitraum vom 23. Februar 2016 bis 3. November 2016, und damit mitunter auch das vorinstanzliche Verfahren sowie zumindest teilweise das Verfahren vor dem Bezirksgericht Y._______. In Anbetracht des Ergebnisses erscheint dem Bundesverwaltungsgericht eine reduzierte Parteientschädigung von Fr. 2'600.- als angemessen (vgl. Art. 14 VGKE). Die Vorinstanz hat der Beschwerdeführerin diesen Betrag nach Rechtskraft des vorliegenden Urteils auf ein von ihr zu bezeichnendes Konto zu überweisen.</w:t>
      </w:r>
    </w:p>
    <w:p>
      <w:r>
        <w:rPr>
          <w:b/>
        </w:rPr>
        <w:t>E. 5.2</w:t>
      </w:r>
    </w:p>
    <w:p>
      <w:r>
        <w:t>Die Verfügung vom 13. Juni 2016 wird im Sinne des beschwerdeführerischen Begehrens aufgehoben. Bei diesem Ergebnis ist der Beschwerdegegnerin keine Parteientschädigung zuzusprechen.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