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B-4012/2013 vom 30. Oktober 2019</w:t>
      </w:r>
    </w:p>
    <w:p>
      <w:r>
        <w:t>Bundesverwaltungsgericht, 2019-10-30, FR</w:t>
      </w:r>
    </w:p>
    <w:p>
      <w:r>
        <w:rPr>
          <w:b/>
        </w:rPr>
        <w:t xml:space="preserve">Quelle: </w:t>
      </w:r>
      <w:r>
        <w:t>https://mcp.opencaselaw.ch/entscheid/bvger_B-4012_2013</w:t>
      </w:r>
    </w:p>
    <w:p>
      <w:r>
        <w:t>FR: TAF B-4012/2013 du 30 octobre 2019</w:t>
      </w:r>
    </w:p>
    <w:p>
      <w:r>
        <w:t>IT: TAF B-4012/2013 del 30 ottobre 2019</w:t>
      </w:r>
    </w:p>
    <w:p>
      <w:pPr>
        <w:pStyle w:val="Heading2"/>
      </w:pPr>
      <w:r>
        <w:t>Regeste</w:t>
      </w:r>
    </w:p>
    <w:p>
      <w:r>
        <w:t>Accords illicites</w:t>
      </w:r>
    </w:p>
    <w:p>
      <w:pPr>
        <w:pStyle w:val="Heading2"/>
      </w:pPr>
      <w:r>
        <w:t>Erwägungen</w:t>
      </w:r>
    </w:p>
    <w:p>
      <w:r>
        <w:rPr>
          <w:b/>
        </w:rPr>
        <w:t>E. 19</w:t>
      </w:r>
    </w:p>
    <w:p>
      <w:r>
        <w:t>Mesures destinées à supprimer la restriction illicite à la concurrence En outre, même si la recourante ne conteste pas directement l'interdiction qui lui a été imposée « d'entraver par des contrats de distribution et/ou de diffusion concernant les livres écrits en français les importations parallèles par tout détaillant actif en Suisse », il convient de confirmer cette mesure. En effet, lorsque l'autorité inférieure parvient à la conclusion qu'une restriction illicite à la concurrence existe dans le cas d'espèce, elle peut ordonner des mesures destinées à la supprimer (art. 30 al. 1 LCart ; cf. Kenji Izumi/Simone Krimmer, in : DIKE Kommentar, op. cit., art. 30 p. 1283 no 24 ss ; Ducrey/Carron, in : CR-Concurrence, op. cit., art. 30 LCart p. 1241 no 19). L'autorité inférieure dispose d'un large pouvoir d'appréciation s'agissant des mesures concrètes qu'elle peut prendre. Dites mesures doivent être appropriées et nécessaires pour supprimer la restriction illicite à la concurrence (cf. Izumi/Krimmer, op. cit., art. 30 p. 1283 no 25 ; Patrick L. Krauskopf/Olivier Schaller/Simon Bangerter, in : Schweizerisches und europäisches Wettbewerbsrecht, 2005, p. 509 no 12.85). De plus, selon l'art. 50 1re phrase LCart, l'entreprise qui contrevient à son profit à un accord amiable, à une décision exécutoire prononcée par les autorités en matière de concurrence ou à une décision rendue par une instance de recours, est tenue au paiement d'un montant pouvant aller jusqu'à 10% du chiffre d'affaires réalisé en Suisse au cours des trois derniers exercices. Dans ces circonstances, dès lors qu'il ne ressort pas du dossier que les contrats de distribution et/ou de diffusion litigieux aient été modifiés ou amendés à la suite de la clôture de l'enquête, l'interdiction imposée à la recourante d'entraver par des contrats de distribution et/ou de diffusion concernant les livres écrits en français les importations parallèles par tout détaillant actif en Suisse demeure nécessaire. De même, elle est la mesure la moins incisive à même de supprimer la restriction illicite constatée, de sorte qu'elle se justifie pleinement.</w:t>
      </w:r>
    </w:p>
    <w:p>
      <w:r>
        <w:rPr>
          <w:b/>
        </w:rPr>
        <w:t>E. 20</w:t>
      </w:r>
    </w:p>
    <w:p>
      <w:r>
        <w:t>Emoluments relatifs à la procédure devant l'autorité inférieure La recourante reproche enfin à l'autorité inférieure de ne pas avoir retranché du montant des frais de procédure prononcés ceux occasionnés par les investigations et démarches procédurales menées en relation avec son éventuelle participation à un accord vertical sur les prix et à un accord horizontal d'attribution de territoire. De même, eu égard à l'importance du montant des frais de procédure fixé dans la décision entreprise, la recourante doute fortement que ceux liés à l'enquête portant sur l'art. 7 LCart aient effectivement été laissés à la charge de la Confédération, comme l'a prétendu l'autorité inférieure, et requiert dès lors que celle-ci en apporte la preuve.</w:t>
      </w:r>
    </w:p>
    <w:p>
      <w:r>
        <w:rPr>
          <w:b/>
        </w:rPr>
        <w:t>E. 20.1</w:t>
      </w:r>
    </w:p>
    <w:p>
      <w:r>
        <w:t>En vertu de l'art. 4 al. 1 et 2 de l'ordonnance du Conseil fédéral du 25 février 1998 relative aux émoluments prévus par la loi sur les cartels (OEmol-LCart, RS 251.2), l'émolument se calcule en fonction du temps consacré et varie entre 100 et 400 francs de l'heure, compte tenu notamment de la classe de salaire de l'employé effectuant la prestation. Est tenu de s'acquitter d'un émolument celui qui notamment occasionne une procédure administrative (art. 2 al. 1 OEmol-LCart). N'ont en revanche pas à verser d'émoluments, en particulier les parties concernées qui ont occasionné une enquête si les indices existant au départ ne se confirment pas et qu'en conséquence la procédure est clôturée sans suite (cf. art. 3 al. 2 let. c OEmol-LCart). En l'occurrence, l'autorité inférieure a indiqué dans la décision contestée que les frais de procédure étaient calculés en fonction du temps consacré à l'affaire et que les frais liés aux investigations fondées sur l'art. 7 LCart avaient été laissés à la charge de la Confédération en tant que celles-ci étaient clairement identifiées temporellement. Elle a ainsi pris en considération la totalité des frais de procédure relatifs à la période de l'enquête portant sur l'art. 5 LCart. Le secrétariat d'abord, puis l'autorité inférieure ensuite ont procédé à des mesures d'investigation afin de déterminer si les diffuseurs suisses de livres écrits en français avaient entre 2005 et 2011 passé des accords au sens de l'art. 5 LCart. Ils ont à cet effet en particulier envoyé des questionnaires aux revendeurs actifs en Suisse romande, lesquels entretiennent des relations commerciales avec quasiment tous les diffuseurs-distributeurs suisses de livres francophones (cf. supra consid. 13.2) ; ils ont procédé à l'audition de certains de ceux-là ainsi qu'à l'examen des procès-verbaux tenus lors des réunions de l'ASDEL. Dites mesures d'investigation ont concerné indistinctement l'existence d'accords au sens de l'art. 5 LCart, en tant qu'il n'est guère possible de délimiter le temps voué à prouver l'existence de deux accords - à savoir horizontal et vertical - dès lors que les indices réunis leur étaient communs. Il en va de même s'agissant de l'existence d'un éventuel accord vertical sur les prix. En effet, contrairement à ce que considère la recourante, les investigations et démarches procédurales liées à l'existence d'un tel accord ne sont pas distinctes de celles relatives aux accords d'attribution de territoires ; en particulier, le questionnaire du 9 décembre 2008 ainsi que les auditions menées auprès des diffuseurs portaient également sur la question d'un éventuel accord vertical sur les prix. Il s'ensuit que le temps consacré par le secrétariat et l'autorité inférieure en lien avec l'art. 5 LCart doit être pris en compte de manière globale dans le calcul des frais de procédure supportés par les diffuseurs condamnés. Il ressort de la décision attaquée (ch. 775) que les frais relatifs à la période de l'enquête portant sur l'art. 5 LCart se montent, pour les treize diffuseurs concernés par celle-ci, à 988'200 francs. Si l'on tient compte d'un tarif horaire moyen, en application de l'art. 2 al. 1 OEmol-LCart, de 200 francs, l'on obtient un nombre total d'heures de travail de 4'941, soit 380 heures par partie. Bien que conséquent, le temps consacré par le secrétariat et l'autorité inférieure à l'examen des infractions visées par l'art. 5 LCart n'apparaît pas excessif, compte tenu de la durée de la procédure y relative (près de deux ans et demi), de la nature et de la difficulté de l'affaire ainsi que des mesures d'investigation entreprises. A titre comparatif, la recourante, par l'intermédiaire de ses mandataires, a justifié 221h50 de travail pour la défense de ses intérêts devant le tribunal de céans et ceci, sans compter les heures de travail consacrées aux expertises privées sur lesquelles elle a en partie fondé la motivation de ses écritures et celles en lien avec sa prise de position sur le projet de décision du secrétariat dont elle a également repris une partie des arguments.</w:t>
      </w:r>
    </w:p>
    <w:p>
      <w:r>
        <w:rPr>
          <w:b/>
        </w:rPr>
        <w:t>E. 20.2</w:t>
      </w:r>
    </w:p>
    <w:p>
      <w:r>
        <w:t>Il s'ensuit qu'avec un tarif horaire moyen se situant dans le bas de l'échelle contenue à l'art. 2 al. 1 OEmol-LCart et donc avec des heures de travail largement comptées, l'on obtient un total qui n'apparaît en aucun cas excessif en relation avec l'examen des accords visés à l'art. 5 LCart, ce qui démontre, par là même, que les frais de procédure fixés dans la décision querellée n'englobent pas ceux relatifs à l'art. 7 LCart. Ceci étant, il n'y a pas lieu de donner suite à la réquisition de preuve sollicitée par la recourante.</w:t>
      </w:r>
    </w:p>
    <w:p>
      <w:r>
        <w:rPr>
          <w:b/>
        </w:rPr>
        <w:t>E. 21</w:t>
      </w:r>
    </w:p>
    <w:p>
      <w:r>
        <w:t>Conséquences Sur le vu de l'ensemble de ce qui précède, la décision de l'autorité inférieure est confirmée, en tant qu'elle condamne la recourante au paiement d'une sanction de [...] francs, qu'elle interdit à la recourante d'entraver par des contrats de distribution et/ou de diffusion concernant les livres écrits en français les importations parallèles par tout détaillant actif en Suisse et qu'elle condamne la recourante solidairement au paiement des frais de procédure devant l'autorité inférieure, s'élevant à un montant de 760'150 francs. Partant, le recours doit être rejeté dans son entier.</w:t>
      </w:r>
    </w:p>
    <w:p>
      <w:r>
        <w:rPr>
          <w:b/>
        </w:rPr>
        <w:t>E. 22</w:t>
      </w:r>
    </w:p>
    <w:p>
      <w:r>
        <w:t>Frais et dépens</w:t>
      </w:r>
    </w:p>
    <w:p>
      <w:r>
        <w:rPr>
          <w:b/>
        </w:rPr>
        <w:t>E. 22.1</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En l'espèce, il y a lieu de fixer les frais de procédure à 30'000 francs et de les mettre à la charge de la recourante. Ceux-ci sont compensés par l'avance de frais, du même montant, acquittée par la recourante le 26 juillet 2013.</w:t>
      </w:r>
    </w:p>
    <w:p>
      <w:r>
        <w:rPr>
          <w:b/>
        </w:rPr>
        <w:t>E. 22.2</w:t>
      </w:r>
    </w:p>
    <w:p>
      <w:r>
        <w:t>L'autorité de recours peut allouer, d'office ou sur requête, à la partie ayant entièrement ou partiellement gain de cause une indemnité pour les frais indispensables et relativement élevés qui lui ont été occasionnés (cf. art. 64 al. 1 PA en relation avec l'art. 7 al. 1 FITAF). Vu l'issue de la procédure,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