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B-3902/2013 vom 12. August 2014</w:t>
      </w:r>
    </w:p>
    <w:p>
      <w:r>
        <w:t>Bundesverwaltungsgericht, 2014-08-12, DE</w:t>
      </w:r>
    </w:p>
    <w:p>
      <w:r>
        <w:rPr>
          <w:b/>
        </w:rPr>
        <w:t xml:space="preserve">Quelle: </w:t>
      </w:r>
      <w:r>
        <w:t>https://mcp.opencaselaw.ch/entscheid/bvger_B-3902_2013</w:t>
      </w:r>
    </w:p>
    <w:p>
      <w:r>
        <w:t>FR: TAF B-3902/2013 du 12 août 2014</w:t>
      </w:r>
    </w:p>
    <w:p>
      <w:r>
        <w:t>IT: TAF B-3902/2013 del 12 agosto 2014</w:t>
      </w:r>
    </w:p>
    <w:p>
      <w:pPr>
        <w:pStyle w:val="Heading2"/>
      </w:pPr>
      <w:r>
        <w:t>Regeste</w:t>
      </w:r>
    </w:p>
    <w:p>
      <w:r>
        <w:t>Unerlaubte Tätigkeit (BankG, BEHG, KAG)</w:t>
      </w:r>
    </w:p>
    <w:p>
      <w:pPr>
        <w:pStyle w:val="Heading2"/>
      </w:pPr>
      <w:r>
        <w:t>Erwägungen</w:t>
      </w:r>
    </w:p>
    <w:p>
      <w:r>
        <w:rPr>
          <w:b/>
        </w:rPr>
        <w:t>E. 1</w:t>
      </w:r>
    </w:p>
    <w:p>
      <w:r>
        <w:t>Das Bundesverwaltungsgericht prüft von Amtes wegen und mit freier Kognition, ob die Prozessvoraussetzungen vorliegen und auf eine Beschwerde einzutreten ist.</w:t>
      </w:r>
    </w:p>
    <w:p>
      <w:r>
        <w:rPr>
          <w:b/>
        </w:rPr>
        <w:t>E. 1.1</w:t>
      </w:r>
    </w:p>
    <w:p>
      <w:r>
        <w:t>Der Entscheid der Vorinstanz vom 14. Juni 2013 stellt eine Verfügung im Sinne von Art. 5 des Verwaltungsverfahrensgesetzes vom 20. Dezember 1968 (VwVG, SR 172.021) dar. Das Bundesverwaltungsgericht ist gemäss Art. 31 des Verwaltungsgerichtsgesetzes vom 17. Juni 2005 (VGG, SR 173.32) Beschwerdeinstanz gegen Verfügungen gemäss Art. 5 VwVG, die u.a. von den Anstalten und Betrieben des Bundes erlassen werden (Art. 33 Bst. e VGG). Darunter fällt die vorliegende, von der Vorinstanz erlassene Verfügung (Art. 54 Abs. 1 des Finanzmarktaufsichtsgesetzes vom 22. Juni 2007 [FINMAG, SR 956.1]). Das Bundesverwaltungsgericht ist damit zur Behandlung der Beschwerde gegen die vorinstanzliche Verfügung zuständig.</w:t>
      </w:r>
    </w:p>
    <w:p>
      <w:r>
        <w:rPr>
          <w:b/>
        </w:rPr>
        <w:t>E. 1.2</w:t>
      </w:r>
    </w:p>
    <w:p>
      <w:r>
        <w:t>Der Beschwerdeführer ist Adressat der angefochtenen Verfügung. Er ist durch die ihn selbst betreffenden Ziffern offensichtlich berührt und hat ein schutzwürdiges Interesse an deren Aufhebung oder Änderung (Art. 48 Abs. 1 des VwVG). Er ist daher zur Beschwerdeführung legitimiert.</w:t>
      </w:r>
    </w:p>
    <w:p>
      <w:r>
        <w:rPr>
          <w:b/>
        </w:rPr>
        <w:t>E. 1.3</w:t>
      </w:r>
    </w:p>
    <w:p>
      <w:r>
        <w:t>Beschwerdefrist und -form sind gewahrt (Art. 50 und 52 Abs. 1 VwVG) und der Kostenvorschuss wurde fristgerecht einbezahlt (vgl. Art.63 Abs. 4 VwVG). Auch die übrigen Sachurteilsvoraussetzungen sind gegeben (vgl. Art. 47 ff. VwVG).</w:t>
      </w:r>
    </w:p>
    <w:p>
      <w:r>
        <w:rPr>
          <w:b/>
        </w:rPr>
        <w:t>E. 1.4</w:t>
      </w:r>
    </w:p>
    <w:p>
      <w:r>
        <w:t>Auf die Beschwerde ist daher einzutreten.</w:t>
      </w:r>
    </w:p>
    <w:p>
      <w:r>
        <w:rPr>
          <w:b/>
        </w:rPr>
        <w:t>E. 2</w:t>
      </w:r>
    </w:p>
    <w:p>
      <w:r>
        <w:t>Als Aufsichtsbehörde über den Finanzmarkt trifft die Vorinstanz die zum Vollzug des Finanzmarktrechts notwendigen Verfügungen und überwacht die Einhaltung der gesetzlichen und reglementarischen Vorschriften. Erhält sie von Verstössen gegen die Gesetze des Finanzmarktrechts oder von sonstigen Missständen Kenntnis, sorgt sie für deren Beseitigung und für die Wiederherstellung des ordnungsgemässen Zustands. Bei der Wahl des geeigneten Mittels hat die Vorinstanz im Rahmen der allgemeinen Verfassungs- und Verwaltungsgrundsätze (Willkürverbot, Rechtsgleichheits- und Verhältnismässigkeitsgebot, Treu und Glauben) in erster Linie den Hauptzwecken der finanzmarktrechtlichen Gesetzgebung, dem Schutz der Gläubiger bzw. Anleger einerseits und der Lauterkeit und Stabilität des Finanzsystems andererseits, Rechnung zu tragen. Die Frage, wie sie ihre Aufsichtsfunktion im Einzelnen wahrnimmt, ist dabei weitgehend ihrem "technischen Ermessen" anheimgestellt (vgl. BGE 135 II 356 E. 3.1 mit Hinweisen sowie Urteil des Bundesverwaltungsgerichts B-2943/2013 vom 6. März 2014 E. 2). Da die Vorinstanz allgemein über die Einhaltung der gesetzlichen Vorschriften zu wachen hat, ist die ihr übertragene Aufsicht nicht auf die ihr bereits unterstellten Betriebe beschränkt. Zu ihrem Aufgabenbereich gehört ebenso die Abklärung der finanzmarktrechtlichen Bewilligungspflicht und die Ermittlung von Finanzintermediären, die in Verletzung gesetzlicher Bestimmungen tätig sind. Sie ist daher berechtigt, die in den Finanzmarktgesetzen vorgesehenen Mittel auch gegenüber Instituten bzw. Personen einzusetzen, deren Unterstellungs- oder Bewilligungspflicht umstritten ist. Liegen hinreichend konkrete Anhaltspunkte dafür vor, dass eine bewilligungspflichtige Geschäftstätigkeit ausgeübt werden könnte, ist die Vorinstanz befugt und verpflichtet, die zur Abklärung erforderlichen Informationen einzuholen und die nötigen Anordnungen zu treffen. Diese können bis zum Verbot der betreffenden Tätigkeit bzw. zur Auflösung und Liquidation eines Unternehmens reichen (vgl. BGE 135 II 356 E. 3.1, 132 II 382 E. 4.2, jeweils mit Hinweisen sowie Urteil des Bundesverwaltungsgerichts B-2943/2013 vom 6. März 2014, E. 2).</w:t>
      </w:r>
    </w:p>
    <w:p>
      <w:r>
        <w:rPr>
          <w:b/>
        </w:rPr>
        <w:t>E. 3</w:t>
      </w:r>
    </w:p>
    <w:p>
      <w:r>
        <w:t>Die Vorinstanz stellt in der angefochtenen Verfügung fest, der Beschwerdeführer habe - ebenso wie E._______, F._______ und G._______ - auf Grund seines massgeblichen Beitrags zur Tätigkeit der S.______ AG, T._______ AG, U.______ GmbH, X.______ GmbH, W._______ AG sowie der V._______ GmbH, ohne Bewilligung gewerbsmässig Publikumseinlagen entgegengenommen und damit aufsichtsrechtliche Bestimmungen schwer verletzt. Auf Grund der engen wirtschaftlichen, organisatorischen und personellen Verflechtungen der sechs Gesellschaften hat die Vorinstanz die genannten Gesellschaften als Einheit und damit als Gruppe qualifiziert. Entsprechend verhängte die Vorinstanz gegen den Beschwerdeführer ein Werbeverbot, ohne jedoch dessen Veröffentlichung vorzusehen. Dazu auferlegte sie ihm solidarisch mit den anderen Verfügungsadressaten die Tragung der Untersuchungs- und Verfahrenskosten (vgl. Sachverhalt A.e).</w:t>
      </w:r>
    </w:p>
    <w:p>
      <w:r>
        <w:rPr>
          <w:b/>
        </w:rPr>
        <w:t>E. 3.1</w:t>
      </w:r>
    </w:p>
    <w:p>
      <w:r>
        <w:t>Der Beschwerdeführer beantragt sinngemäss die Aufhebung der angefochtenen Verfügung, soweit sie ihn persönlich betrifft. Die Feststellungen der Vorinstanz betreffend unerlaubte gewerbsmässige Entgegennahme von Publikumseinlagen durch die S.______-Gruppe bestreitet er nicht. Hingegen macht er geltend, dafür nicht mitverantwortlich bzw. nicht teil der Gruppe zu sein (vgl. Sachverhalt A.d und B). Im Folgenden ist zu prüfen ob die Vorinstanz zu Recht feststellte, dass der Beschwerdeführer aufgrund seines massgeblichen Beitrags für die S._____-Gruppe gewerbsmässig Publikumseinlagen entgegengenommen hat, ohne über die hierfür erforderliche Bewilligung zu verfügen, ihm gegenüber ein Werbeverbot aussprach und ihn zur solidarischen Haftung für die vorinstanzlichen Untersuchungs- und Verfahrenskosten verurteilte.</w:t>
      </w:r>
    </w:p>
    <w:p>
      <w:r>
        <w:rPr>
          <w:b/>
        </w:rPr>
        <w:t>E. 3.2.1</w:t>
      </w:r>
    </w:p>
    <w:p>
      <w:r>
        <w:t>Natürlichen und juristischen Personen, die nicht dem Bankengesetz unterstehen bzw. über keine entsprechende Bewilligung verfügen, ist es untersagt, gewerbsmässig Publikumseinlagen entgegenzunehmen (Art. 1. Abs. 2 des Bankengesetzes vom 8. November 1934 [BankG, SR 952.0]). Die Entgegennahme von Publikumseinlagen besteht darin, dass ein Unternehmen gewerbsmässig für eigene Rechnung Verpflichtungen gegenüber Dritten eingeht, wobei grundsätzlich alle Verbindlichkeiten als Einlagen gelten. Es muss ein Vertrag vorliegen, in dem sich der Zahlungsempfänger zur späteren Rückzahlung der betreffenden Summe verpflichtet (vgl. statt vieler BGE 132 II 382 E. 6.3.1 sowie Urteile des Bundesverwaltungsgerichts B-1024/2013 vom 6. Januar 2014 E. 3.2 und B-2723/2011 vom 24. April 2012 E. 4.1). Massgeblich hierfür ist nicht die Bezeichnung, sondern der gewollte auf die Entgegennahme von Einlagen gerichtete Vertragszweck. Nicht als Einlagen gelten Gelder, die eine Gegenleistung aus einem Vertrag auf Übertragung des Eigentums oder aus einem Dienstleistungsvertrag darstellen oder als Sicherheitsleistung übertragen werden (Art. 3a Abs. 3 Bst. a der Bankenverordnung vom 17. Mai 1972 [BankV, SR 952.02]), Anleihensobligationen und andere vereinheitlichte und massenweise ausgegebene Schuldverschreibungen oder nicht verurkundete Rechte mit gleicher Funktion (Wertrechte), wenn die Gläubiger in einem dem Art. 1156 des Obligationenrechts vom 30. März 1911 (OR, SR 220) entsprechenden Umfang informiert werden (Art. 3a Abs. 3 Bst. b BankV), Habensaldi auf Kundenkonti von Effekten- oder Edelmetallhändlern, Vermögensverwaltern oder ähnlichen Unternehmen, welche einzig der Abwicklung von Kundengeschäften dienen, wenn dafür kein Zins bezahlt wird (Art. 3a Abs. 3 Bst. c BankV), oder Gelder, deren Entgegennahme in einem untrennbaren Zusammenhang mit einem Lebensversicherungsvertrag, der beruflichen Vorsorge oder anderen anerkannten Vorsorgeformen nach Art. 82 des Bundesgesetzes vom 25. Juni 1982 über die berufliche Alters , Hinterlassenen- und Invalidenvorsorge (BVG, SR 831.40) stehen (Art. 3a Abs. 3 Bst. d BankV). Nur diese in Art. 3a Abs. 3 Bst. a-d BankV abschliessend als Ausnahmen aufgezählten Verbindlichkeiten gelten nicht als Einlagen. Die Umschreibung des Begriffs Einlagen erfolgt damit negativ (vgl. Urteil des Bundesverwaltungsgerichts B-2723/2011 vom 24. April 2012 E. 4.1; Alois Rimle, Recht des schweizerischen Finanzmarktes: ein Grundriss für die Praxis, Zürich/Basel/Genf 2004, S. 13; Daniel Zuberbühler, Revision des Bankengesetzes vom 18. März 1994 und der Bankenverordnung, in: Aktuelle Rechtsprobleme des Finanz- und Börsenplatzes Schweiz, Bern 1995, S. 18 f.). Ferner sind bestimmte Einlagen kraft Gesetzes nicht als Publikumseinlagen zu qualifizieren (Art. 3a Abs. 4 BankV). Hierzu zählen insbesondere Einlagen von in- und ausländischen Banken oder anderen staatlich beaufsichtigten Unternehmen und institutionellen Anlegern mit professioneller Tresorerie (Urteil des Bundesverwaltungsgerichts B-1024/2013 vom 6. Januar 2014 E. 3.2).</w:t>
      </w:r>
    </w:p>
    <w:p>
      <w:r>
        <w:rPr>
          <w:b/>
        </w:rPr>
        <w:t>E. 3.2.2</w:t>
      </w:r>
    </w:p>
    <w:p>
      <w:r>
        <w:t>Das Bankengesetz definiert den Begriff der Gewerbsmässigkeit nicht näher. Eine solche Definition enthält indessen die Bankenverordnung. Nach ihrem Wortlaut handelt gewerbsmässig im Sinne des Gesetzes, wer dauernd mehr als 20 Publikumseinlagen entgegennimmt (Art. 3a Abs. 2 BankV, vgl. hierzu und zum Ganzen: Urteil des Bundesverwaltungsgerichts B-1024/2013 vom 6. Januar 2014 E. 3.3 m.w.H.). Es soll sich um eine selbständige, auf den dauernden Erwerb gerichtete wirtschaftliche Tätigkeit handeln (in Anlehnung an Art. 2 Bst. b Handelsregisterverordnung vom 17. Oktober 2007 [HRegV, SR 221.411]). Eng mit dem gewerbsmässigen Charakter der Aktivitäten verbunden ist deren Öffentlichkeit. Das Gesetz definiert den Begriff der Öffentlichkeit bzw. des Publikums ebenfalls nicht näher. Nach herrschender Lehre geht es dabei nicht um die feste Zahl von 20 oder die Bestimmtheit des angesprochenen Personenkreises, sondern um die Unbegrenztheit der Zahl der potentiellen Adressaten. Es ergibt sich dementsprechend aus der ratio legis, dass ein Marktteilnehmer, dem untersagt ist, gewerbsmässig Publikumseinlagen entgegenzunehmen, sich auch nicht öffentlich zur Annahme fremder Gelder empfehlen und nicht in welcher Form auch immer dafür Werbung betreiben darf (Art. 2a Bst. a sowie Art. 3 Abs. 1 BankV). Dies gilt selbst dann, wenn daraus weniger als 20 Einlagen resultieren (Art. 3 Abs. 1 BankV; FINMA-RS 08/3 Rz. 8-9; vgl. BGE 136 II 43 E. 4.2 m.w.H.). Die Aufzählung möglicher Werbeformen in Art. 3 Abs. 1 BankV ist nicht abschliessend. Die Organisation und Durchführung von Werbeveranstaltungen sowie der Einsatz von Vermittlern, die alsdann für Kunden werben, gilt somit auch als unzulässige Werbung (vgl. Rashid Bahar/Eric Stupp, in: Watter/Vogt/Bauer/Winzeler [Hrsg.], Basler Kommentar zum Bankengesetz, Basel 2013, N 62-64 zu Art. 1 BankG).</w:t>
      </w:r>
    </w:p>
    <w:p>
      <w:r>
        <w:rPr>
          <w:b/>
        </w:rPr>
        <w:t>E. 3.3</w:t>
      </w:r>
    </w:p>
    <w:p>
      <w:r>
        <w:t>Die S._______ AG hat im Zeitraum vom 1. März 2010 bis zum 27. April 2012 im Rahmen des Investitionsprogramms der U.______ GmbH mit mindestens 15 Privatpersonen Treuhandverträge abgeschlossen und gesamthaft Einlagen im Umfang von EUR 468'608.72 (inklusive Agio) entgegengenommen, ohne im Besitz einer bankenrechtlichen Bewilligung zu sein (Akten, 8 p 016-18). In den Treuhandverträgen ist dabei vereinbart worden, dass die S.______ AG ihrerseits die einbezahlten Beträge als Depotstelle für eine Laufzeit von 5 oder 10 Jahren verwaltet und damit "im Auftrag des Treugebers [...] Darlehen [an eine Gesellschaft] gegen Übergabe von Schuldbriefen oder gegen entsprechende notarielle Einlieferungsverpflichtungen" gewährt (Akten 8 p 001- 001 bis 001-243). Die S.______ AG hat sich demgemäss dazu verpflichtet, spätestens nach Ablauf der vereinbarten Laufzeit das Darlehen mit Zins von 5 % oder mehr zurückzubezahlen. Mit diesen Verträgen ist sie ihren Kunden gegenüber zur Rückzahlungsschuldnerin geworden, d.h. es sind ihr den Anlegern gegenüber Verbindlichkeiten entstanden, ohne dass eine Ausnahme i.S.v. Art. 3a Abs. 3 und 4 BankV ersichtlich ist. Die S.______ AG hat zudem unter Zuhilfenahme von Vertriebsgesellschaften und Vermittlern - darunter insbesondere auch der Beschwerdeführer - öffentlich für das Anlageprogramm mit Werbeprospekten geworben (Akten 1 p. 11-12, 8 p. 024 ff. sowie 8 p. 001-325 bis 001-355). Zusammenfassend hat die S.______ AG mit mindestens 15 Personen Anlageverträge geschlossen, mit weiteren Personen Vertragsverhandlungen geführt und auch öffentlich für die Entgegennahme von Publikumseinlagen empfohlen. Daraus ergibt sich, dass selbst wenn zum Verfügungszeitpunkt nicht mehr als 20 Verträge unterzeichnet worden waren, die Tätigkeit der S.______ AG an eine unbegrenzte Zahl von potentiellen Adressaten gerichtet war. Damit ist die Entgegennahme der Publikumseinlagen gewerbsmässig erfolgt.</w:t>
      </w:r>
    </w:p>
    <w:p>
      <w:r>
        <w:rPr>
          <w:b/>
        </w:rPr>
        <w:t>E. 4</w:t>
      </w:r>
    </w:p>
    <w:p>
      <w:r>
        <w:t>Im folgenden ist zu prüfen, ob die Vorinstanz zu Recht den Bestand einer Gruppe angenommen und den Beschwerdeführer aufgrund seiner Tätigkeit für die X._____ GmbH und die W.______ AG als Mitglied dieser Gruppe belangt hat.</w:t>
      </w:r>
    </w:p>
    <w:p>
      <w:r>
        <w:rPr>
          <w:b/>
        </w:rPr>
        <w:t>E. 4.1</w:t>
      </w:r>
    </w:p>
    <w:p>
      <w:r>
        <w:t>Nach der Praxis des Bundesgerichts, des Bundesverwaltungsgerichts sowie der Vorinstanz sind verschiedene natürliche und juristische Personen in Bezug auf die Ausübung einer bewilligungspflichtigen Tätigkeit aufsichtsrechtlich als Gesamtheit zu betrachten, wenn zwischen ihnen eine derart enge wirtschaftliche, organisatorische oder personelle Verflechtung besteht, dass die Gruppe als wirtschaftliche Einheit zu betrachten ist. Dabei genügen auch bloss intern wahrnehmbare personelle, wirtschaftliche oder organisatorische Verflechtungen, sofern sie derart intensiv sind, dass eine Gruppenbetrachtung angezeigt erscheint. Dies ist etwa dann der Fall, wenn die verschiedenen Akteure im Hinblick auf die bewilligungspflichtige Tätigkeit koordiniert arbeitsteilig und zielgerichtet zusammenwirken. Die Annahme einer Gruppe hat zur Folge, dass die aufsichtsrechtlichen Konsequenzen alle Gruppenmitglieder treffen, selbst wenn in Bezug auf einzelne davon - isoliert betrachtet - nicht alle Tatbestandsmerkmale erfüllt sind (vgl. Urteile des Bundesverwaltungsgerichts B-2943/2013 vom 6. März 2014 E.4.2.1, B-1024/2013 vom 6. Januar 2013 E. 4.1 und B-2311/2010 vom 22. Oktober 2010 E. 3.1 mit Hinweisen).</w:t>
      </w:r>
    </w:p>
    <w:p>
      <w:r>
        <w:rPr>
          <w:b/>
        </w:rPr>
        <w:t>E. 4.2</w:t>
      </w:r>
    </w:p>
    <w:p>
      <w:r>
        <w:t>Den Akten ist zu entnehmen, dass die streitbezogene Tätigkeit die folgenden Gesellschaften umfasste:</w:t>
      </w:r>
    </w:p>
    <w:p>
      <w:r>
        <w:rPr>
          <w:b/>
        </w:rPr>
        <w:t>E. 4.2.1</w:t>
      </w:r>
    </w:p>
    <w:p>
      <w:r>
        <w:t>Gesellschaften, deren Geschäfte (u.a.) vom Beschwerdeführer geführt wurden: - die X._______ GmbH, mit Sitz in L._______, die am ..... Mai 2010 ins Handelsregister des Kantons Zürich eingetragen wurde. Ihr Stammkapital von Fr. 20'000.- wurde in 20 Stammanteile zu Fr. 1'000.- eingeteilt; wovon 19 H._______, vorsitzende Geschäftsführerin in Deutschland, und einer J._____, Geschäftsführer, gehörten. Seit 2011 ist F.______ an die Stelle von J._____ getreten. Bei H.______ handelt es sich um die seit 2011 schwer kranke und pflegebedürftige Mutter des Beschwerdeführers. Dieser trat deshalb faktisch in Deutschland als Organ der Gesellschaft auf (Akten 4 p. 38 sowie, 8 p. 001-007, 001-030 und 001-042). - die W.______ AG, die am ..... Juni 2011 ins Handelsregister des Kantons Schwyz eingetragen wurde und bis Februar 2013 in W._______ ansässig war. Der Beschwerdeführer war einziges Mitglied des Verwaltungsrates bis der Sitz der Gesellschaft Anfang Februar 2013 nach P.______ verlegt wurde (Akten 4 p. 039 f).</w:t>
      </w:r>
    </w:p>
    <w:p>
      <w:r>
        <w:rPr>
          <w:b/>
        </w:rPr>
        <w:t>E. 4.2.2</w:t>
      </w:r>
    </w:p>
    <w:p>
      <w:r>
        <w:t>Gesellschaften, deren Tätigkeit mit jener des Beschwerdeführers bzw. seiner Gesellschaften (vgl. 4.2.1) im vorliegend interessierenden Zusammenhang steht: - die U._____ GmbH, die am ..... August 2006 ins Handelsregister des Kantons Zürich eingetragen wurde. Ab Februar 2011 war G._______ bis zur Umfirmierung der Gesellschaft in Y._______ und der Verlegung ihres Sitzes ins T.______ im Juni 2011 alleiniger Geschäftsführer und Gesellschafter. Mit der Sitzverlegung trat F.______ an seine Stelle (Akten 8 p. 026 und 001-008, 4 p. 027 bis 030). - die V.______ GmbH, die am ...... Juni 2011 ins Handelsregister des Kantons Zürich eingetragen wurde. Einziger Gesellschafter und Geschäftsführer war G.______ (Akten 4 p. 042). - die S._______ AG, mit Sitz in M.______, die am ..... September 2009 ins Handelsregister des Kantons Aargau eingetragen wurde. E.______ war einziges Mitglied des Verwaltungsrates und verfügte über Einzelunterschrift. Ort der tatsächlichen Leitung war dessen Privatwohnung (vgl. Sachverhalt A.a). Bis im Februar 2012 waren E.______ und F.______ Inhaber von je 50% des gesamten Aktienkapitals der S.______ AG, danach wurde die Gesellschaft von der Z.______ AG übernommen (Akten 2 p. 068 und 4 p. 037). - die T.______ AG, die an der gleichen Adresse wie die S.______ AG domiziliert war und am ..... Februar 2010 ins Handelsregister des Kantons Aargau eingetragen wurde. Auch bei ihr war E.______ einziges Mitglied des Verwaltungsrates und verfügte über Einzelunterschrift. Ort der tatsächlichen Leitung war auch hier seine Privatwohnung (Akten 8 p. 001-017 f., 4 p. 026). - die Z.______AG, mit Sitz in Z._____, die am ...... September ins Handelsregister eingetragen wurde. Seit Juli 2012 ist E._______ einziger Verwaltungsrat. Zu den von der Z.______AG gehaltenen Gesellschaften gehörten seit Mitte 2012 auch die S.______ AG und die T._______ AG (Akten 4 p. 042, 8 p. 001-017 und 001-019)</w:t>
      </w:r>
    </w:p>
    <w:p>
      <w:r>
        <w:rPr>
          <w:b/>
        </w:rPr>
        <w:t>E. 4.2.3</w:t>
      </w:r>
    </w:p>
    <w:p>
      <w:r>
        <w:t>Die gemeinsame Tätigkeit dieser Gesellschaften gestaltete sich folgendermassen: Die S.______ AG nahm treuhänderisch gegen Renditeversprechen Darlehen von Privatpersonen entgegen (vgl. E. 3.3). In den Verträgen mit den Kunden wurde dabei festgehalten, dass "[D]er Treuhandvertrag [...] die Anlage in das Konzept der U._____ GmbH" betreffe (Akten 8 p. 001-022 ff., 001-065 ff., 001-082 ff., 001-100 ff., 001-111 ff., 001.123 ff., 001-142 ff., 001-164 ff., 001-197 ff., 001-206 ff., 001-215 ff., 001-216 ff., 001-234 ff.). Die so erhaltenen Gelder nutzte die S._____ AG, um u.a. der T._____ AG Darlehen zu gewähren, welche diese wiederum u.a. in Immobilien investierte. Der Vertrieb in Deutschland wurde durch die X.______ GmbH sowie durch die W.______ AG koordiniert. Die V._____ GmbH war ursprünglich dazu bestimmt, die von der T.______ AG erworbenen Objekte zu bewirtschaften. Zu diesem Zweck schloss sie am 1. Juli 2011 eine "Provisionsvereinbarung für Kundenbetreuung [...]" mit der W.______ AG, wonach letztere als Vertriebspartnerin das Produkt der ersteren vertreiben sollte (Akten 2 p. 30). Faktisch hat die V.______ GmbH jedoch ihre Geschäftstätigkeit nie aufgenommen.</w:t>
      </w:r>
    </w:p>
    <w:p>
      <w:r>
        <w:rPr>
          <w:b/>
        </w:rPr>
        <w:t>E. 4.2.4</w:t>
      </w:r>
    </w:p>
    <w:p>
      <w:r>
        <w:t>Der Beschwerdeführer war ab dem ..... Mai 2010 faktisch als Geschäftsführer - in Stellvertretung seiner pflegebedürftigen Mutter - der X.______ GmbH tätig. Am ..... Juni 2011 gründete er mit Hilfe von J.______ und E._____ die W._____ AG, welche nach der Umfirmierung der U.______ GmbH dessen Nachfolgerin werden sollte (vgl. dazu 3.4.1 f., Akten 8 p. 001-106 bis 001-107 sowie 8 p. 001-328 bis 001-355). In dieser Funktion trat er als Bindeglied zwischen der S.______ AG, den Kunden sowie Vertriebspartnern auf. Während der Beschwerdeführer der S.______ AG die Kunden vermittelte und die Vertragsunterlagen aufbereitete, unterschrieb die S.______ AG in der Folge die Verträge, führte die schriftliche Korrespondenz und fungierte als Depotstelle für die einbezahlten Einlagen. Dem Beschwerdeführer wurden von E._______ die Werbeprospekte zur Verfügung gestellt, die er u.a. an die Untervermittler in Deutschland weiterleitete (Untersuchungsbericht, S. 23 und Beilagen 2 und 4, Akten 8 p. 024). Die W.______ AG erschien dabei auf dem Prospekt auch als Kontaktstelle (Untersuchungsbericht, S. 24, Akten 8 p. 025 und 8 p. 001-335). Die X.______ GmbH vermittelte der S.______ AG im Jahre 2010 mindestens zwei Verträge mit einem Anlagevolumen von insgesamt EUR 140'000.- und die W.______ AG in den darauffolgenden Jahren (2011-2012) acht Verträge mit einem Anlagevolumen von insgesamt EUR 270'000.- (Untersuchungsbericht, S. 25, Akten 8 p. 026).</w:t>
      </w:r>
    </w:p>
    <w:p>
      <w:r>
        <w:rPr>
          <w:b/>
        </w:rPr>
        <w:t>E. 4.3</w:t>
      </w:r>
    </w:p>
    <w:p>
      <w:r>
        <w:t>Der Beschwerdeführer bestreitet diesen Sachverhalt nicht, sondern bestätigt ihn vielmehr mit seinen Ausführungen: In seiner undatierten, am 5. April 2013 bei der Vorinstanz eingegangenen Stellungnahme zum Untersuchungsbericht erklärte er, "ausschliesslich für den Vertriebsaufbau [...] in Deutschland tätig" gewesen zu sein. Die Prospekte seien ihm u.a. von G._______ zur Verfügung gestellt worden (Akten 2 p. 111). In der Beschwerdeschrift führt er zudem aus, es habe eine Vertriebsvereinbarung zwischen der X.______ GmbH, der W.______ AG und der U.________ GmbH gegeben. Weiter sei in den Treuhandverträgen festgehalten worden, dass die S._______ AG als Treuhandstelle fungiere und die Gelder, welche im Zusammenhang mit dem Geschäftsmodell der U.______ GmbH stünden, empfange (Beschwerde, S. 1). G._______ habe die Gründung der X._______ GmbH in die Wege geleitet und ihm erklärt, es sei notwendig J.______ in die Gesellschaft aufzunehmen, weil der Beschwerdeführer deutscher Staatsangehöriger sei. Nachdem J.______ Ende 2010 das komplette Kapital der X._______ GmbH "leergeräumt" habe, sei seine Stelle in der Geschäftsführung von F.________ übernommen worden. Im Juni 2011 sei er von G._______ dazu überredet worden, eine neue Firma (die W._______ AG) zu gründen, welche die U.________ GmbH ersetzen sollte. F._______ habe ihm zu diesem Zweck einen Schweizer Wohnsitz begründet und sowohl E._______ wie auch F._______ hätten von ihm eine Vollmacht erhalten, um sich um seine steuerlichen Angelegenheiten zu kümmern und "alles [andere] in der Schweiz" für ihn zu regeln (Beschwerde, S. 2).</w:t>
      </w:r>
    </w:p>
    <w:p>
      <w:r>
        <w:rPr>
          <w:b/>
        </w:rPr>
        <w:t>E. 4.4</w:t>
      </w:r>
    </w:p>
    <w:p>
      <w:r>
        <w:t>Der Beschwerdeführer bestreitet indes, gewusst zu haben, dass die S._______ AG und insbesondere die W.______ AG nicht über die erforderliche bankenrechtliche Bewilligung verfügt habe, um Publikumseinlagen entgegenzunehmen. E._______ und G.______ hätten ihm "versichert und mit einer Urkunde bestätigt, dass das Produkt von der U._______ GmbH zertifiziert und genehmigt sei" (Stellungnahme zum Untersuchungsbericht, Akten 2 p. 111 und Beschwerde S. 1). Er habe geglaubt, "in guten Händen zu sein" und sich vollkommen auf die Aussagen von G.______ und E.______ verlassen. Alles sei gut durchdacht gewesen und es sei für ihn nicht möglich gewesen zu erkennen, dass keine Bewilligung vorliege. Zudem habe er keine Kenntnis des Schweizerischen Rechts gehabt (Beschwerde, S. 2 f.). Gleichzeitig macht er geltend, er sei mehrmals getäuscht und unter Druck gesetzt worden.</w:t>
      </w:r>
    </w:p>
    <w:p>
      <w:r>
        <w:rPr>
          <w:b/>
        </w:rPr>
        <w:t>E. 4.5</w:t>
      </w:r>
    </w:p>
    <w:p>
      <w:r>
        <w:t>Nach den vorstehenden Ausführungen ergibt sich, dass in personeller Hinsicht dieselben natürlichen Personen (E.______, F._______, G._______ und der Beschwerdeführer) in verschiedenen Funktionen hinter den sechs Gesellschaften (S._______ AG, T._______ AG, U._______ GmbH, X._______ GmbH, W._______ AG und V._______ GmbH) standen und sich darin auch gegenseitig ablösten: E._______ und F.______ waren zuerst direkt, dann indirekt über die Z.______AG, Inhaber der S._______ AG und der T.________ AG. Während E._______ als einziges Organ der S._______ AG und der T._______ AG fungierte, war F._______ für die Liquidation der U._______ GmbH zuständig und Mitinhaber und Geschäftsführer der X._______ GmbH. G._______ seinerseits war zuerst alleiniger Geschäftsführer der U.______ GmbH und ab dem ..... Juni 2011 als einziger für die Geschäftstätigkeit der V.______ GmbH verantwortlich. Der Beschwerdeführer organisierte den Vertrieb in Deutschland zuerst über die X._______ GmbH und dann über die W.______ AG. Er führte die Geschäfte beider Gesellschaften, sei es als Geschäftsführer der W.______ AG, sei es als faktisches Organ der X.______ GmbH (in Stellvertretung seiner schwerkranken und pflegebedürftigen Mutter).</w:t>
      </w:r>
    </w:p>
    <w:p>
      <w:r>
        <w:rPr>
          <w:b/>
        </w:rPr>
        <w:t>E. 4.5.1</w:t>
      </w:r>
    </w:p>
    <w:p>
      <w:r>
        <w:t>Zwischen den Gesellschaften bestehen weitere finanzielle, organisatorische und vertragliche Verbindungen: Faktischer Gesellschaftsraum der T.______ AG sowie der S.______ AG war nicht ihr offizielles Domizil, sondern die Privatwohnung von E.______. Vier der sechs Gesellschaften der S._______-Gruppe enthalten in ihrem Firmennamen die Wörter "s._______" und "y.______". Zwischen den Gesellschaften gab es verschiedene Provisonsvereinbarungen, insbesondere auch eine zwischen der V._______ GmbH und der W._______ AG (vgl. E. 4.2.3). Auch gewährten die S._______ AG und die T._______ AG den natürlichen Personen der S.______-Gruppe (insbesondere F._______ und L.______) Darlehen, von denen zumindest ein Teil aus Kundengeldern finanziert wurde.</w:t>
      </w:r>
    </w:p>
    <w:p>
      <w:r>
        <w:rPr>
          <w:b/>
        </w:rPr>
        <w:t>E. 4.5.2</w:t>
      </w:r>
    </w:p>
    <w:p>
      <w:r>
        <w:t>Der Beschwerdeführer hat seinerseits die Schlüsselposition bei den Vertriebsgesellschaften (W._______ AG und der X._______ GmbH) gehalten, hat in dieser Funktion der S.______ AG die Kunden vermittelt, ihr die Vertragsunterlagen aufbereitet, mit Prospekten für das Anlageprogramm der S.______-Gruppe geworben sowie diese an die Untervermittler weitergeleitet (vgl. E. 4.2.1). Damit hat er einen wesentlichen Beitrag zur Gesellschaftsaktivität im aufsichtsrechtlichen Sinn erbracht. Die personellen, wirtschaftlichen und organisatorischen Verflechtungen zwischen der Geschäftstätigkeit des Beschwerdeführers und der S.______-Gruppe sind demnach derart intensiv, dass die Vorinstanz zu Recht feststellte, die genannten Gesellschaften und der Beschwerdeführer seien aus einem wirtschaftlichen Standpunkt als Einheit zu betrachten. Daran vermag auch der Einwand des Beschwerdeführers, nicht gewusst zu haben, dass die S._______-Gruppe nicht über die erforderliche bankenrechtliche Bewilligung verfügte um Publikumseinlagen entgegenzunehmen, nichts zu ändern. Als Verwaltungsrat der W._______ AG hätte er die Verantwortung gehabt, die erforderlichen Abklärungen vorzunehmen um zu gewährleisten, dass sich die Tätigkeit dieser Gesellschaft im gesetzlichen Rahmen bewegt (Art. 716a Abs. 1 Ziff. 1 und 5, Art. 810 Abs. Ziff. 1 und 4 des Obligationenrechts vom 30. März 1911 [OR, SR 220], Urteil des Bundesverwaltungsgerichts B-4094/2012 vom 11. Juni 2013, E. 3.1.3 ff.). Auch konnte von ihm als faktischer Geschäftsführer der X.______ GmbH erwartet werden, dass er bei pflichtgemässer Wahrnehmung seiner Obliegenheiten insbesondere auch der rechtliche Bereich der Geschäftstätigkeit einzuordnen vermag (vgl. Art. 812 Abs. 1 OR, Urteil des Bundesverwaltungsgerichts B-2943/2013 vom 6. März 2014, E. 4.2.3 m.w.H). Dieser Verantwortung konnte er sich auch nicht im Vertrauen auf die Kompetenz und Aufrichtigkeit seiner Geschäftspartner entziehen. Soweit der Beschwerdeführer rügt, keine Provisionen von E.______ erhalten zu haben ist festzuhalten, dass die Aktenlage diesbezüglich nicht eindeutig ist. Die Frage kann jedoch mit Hinblick auf das bereits Gesagte offengelassen werden.</w:t>
      </w:r>
    </w:p>
    <w:p>
      <w:r>
        <w:rPr>
          <w:b/>
        </w:rPr>
        <w:t>E. 4.6</w:t>
      </w:r>
    </w:p>
    <w:p>
      <w:r>
        <w:t>Somit hat die Vorinstanz zu Recht festgestellt, dass der Beschwerdeführer aufgrund seines massgeblichen Beitrags für die S.______-Gruppe gewerbsmässig Publikumseinlagen entgegengenommen hat, ohne über die hierfür erforderliche Bewilligung zu verfügen, und damit aufsichtsrechtliche Bestimmungen verletzt hat. Die sich hiergegen wendende Beschwerde erweist sich insoweit als unbegründet und ist abzuweisen.</w:t>
      </w:r>
    </w:p>
    <w:p>
      <w:r>
        <w:rPr>
          <w:b/>
        </w:rPr>
        <w:t>E. 5</w:t>
      </w:r>
    </w:p>
    <w:p>
      <w:r>
        <w:t>Soweit die Beschwerde dahingehend zu verstehen ist, dass der Beschwerdeführer auch das gegen ihn auferlegte Werbeverbot anficht und dessen Unverhältnismässigkeit rügt, ist festzuhalten, dass mit dem Verbot, Publikumseinlagen gewerbsmässig entgegenzunehmen oder dafür zu werben, dem Beschwerdeführer lediglich in Erinnerung gerufen wurde, was bereits von Gesetzes wegen gilt. Gemäss ständiger Rechtsprechung des Bundesgerichts und des Bundesverwaltungsgerichts handelt es sich dabei - soweit keine Publikation erfolgt - nicht um eine eigenständige Massnahme, sondern lediglich um eine Warnung bzw. Ermahnung. Das Bundesgericht trat auf hierzu geführte Beschwerden regelmässig ein (vgl. Urteil des Bundesgerichts 2C_71/2011 vom 26. Januar 2012 E.1) und erachtete dabei das Werbeverbot gegenüber den verantwortlichen Organen einer juristischen Person, bezüglich der rechtskräftig festgestellt wurde, dass sie unbewilligt einer nach einem Finanzmarktgesetz bewilligungspflichten Tätigkeit nachgegangen ist, als reine "Reflexwirkung" dieser illegalen Aktivität (vgl. BGE 135 II 356 E. 5.1 mit Hinweisen). Die Anforderungen an die Anordnung eines derartigen Verbots sind daher gering (vgl. Urteil des Bundesverwaltungsgerichts B-2723/2011 vom 24. April 2012 E. 6). Im vorliegenden Fall bestand nach dem bisher Gesagten ein ausreichender Grund, um gegenüber dem Beschwerdeführer als verantwortlichem Organ der X.______ GmbH und W.______ AG förmlich auf dieses Werbeverbot und die damit verknüpfte Strafdrohung hinzuweisen.</w:t>
      </w:r>
    </w:p>
    <w:p>
      <w:r>
        <w:rPr>
          <w:b/>
        </w:rPr>
        <w:t>E. 6</w:t>
      </w:r>
    </w:p>
    <w:p>
      <w:r>
        <w:t>Der Beschwerdeführer beanstandet schliesslich sowohl die solidarische Auferlegung der Verfahrenskosten, wie auch deren Höhe.</w:t>
      </w:r>
    </w:p>
    <w:p>
      <w:r>
        <w:rPr>
          <w:b/>
        </w:rPr>
        <w:t>E. 6.1</w:t>
      </w:r>
    </w:p>
    <w:p>
      <w:r>
        <w:t>Rechtfertigt es sich finanzmarktrechtlich, eine Aktivität gruppenweise zu erfassen, ist es konsequent, den einzelnen Mitgliedern auch die entstandenen Kosten solidarisch aufzuerlegen. Andernfalls käme es zu einem ungerechtfertigten Wertungswiderspruch zwischen dem Sach- und Kostenentscheid. Die interne Aufteilung ist in der Folge allenfalls eine Frage des Regresses (vgl. BGE 135 II 356 E. 6.2.1, Urteile des Bundesgerichts 2C_30/2011 und 2C_543/2011 vom 12. Januar 2012 E. 6.1, m.w.H.). Wie oben ausgeführt, war der Beschwerdeführer in massgeblicher Weise und direkt am als illegal befundenen Geschäft mit Publikumseinlagen beteiligt und hat dafür Werbung auch betrieben.</w:t>
      </w:r>
    </w:p>
    <w:p>
      <w:r>
        <w:rPr>
          <w:b/>
        </w:rPr>
        <w:t>E. 6.2</w:t>
      </w:r>
    </w:p>
    <w:p>
      <w:r>
        <w:t>Die solidarische Auferlegung der Verfahrenskosten auf alle beteiligten Gesellschaften bzw. auch die für diese verantwortlichen natürlichen Personen entspricht der ständigen Praxis sowohl des Bundesgerichts als auch des Bundesverwaltungsgerichts und ist daher nicht zu beanstanden (vgl. Urteile des Bundesverwaltungsgerichts B-2943/2013 vom 6. März 2014 E. 6 m.w.H.).</w:t>
      </w:r>
    </w:p>
    <w:p>
      <w:r>
        <w:rPr>
          <w:b/>
        </w:rPr>
        <w:t>E. 7</w:t>
      </w:r>
    </w:p>
    <w:p>
      <w:r>
        <w:t>Insgesamt erweist sich die Beschwerde damit als unbegründet und ist abzuweisen.</w:t>
      </w:r>
    </w:p>
    <w:p>
      <w:r>
        <w:rPr>
          <w:b/>
        </w:rPr>
        <w:t>E. 8</w:t>
      </w:r>
    </w:p>
    <w:p>
      <w:r>
        <w:t>Entsprechend dem Ausgang des Verfahrens hat der unterliegende Beschwerdeführer die Verfahrenskosten zu tragen (Art. 63 Abs. 1 VwVG) und es steht ihm keine Parteientschädigung zu (Art. 64 Abs. 1 VwVG sowie Art. 7 Abs. 1 des Reglements vom 21. Februar 2008 über die Kosten und Entschädigungen vor dem Bundesverwaltungsgericht [VGKE, SR 173.320.2]). Die Verfahrenskosten sind angesichts der Schwierigkeit der Streitsache und der in Frage stehenden Vermögensinteressen auf Fr. 2'000.- festzusetzen. Sie werden mit dem Kostenvorschuss von Fr. 2'000.-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