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B-3812/2012 vom 25. November 2014</w:t>
      </w:r>
    </w:p>
    <w:p>
      <w:r>
        <w:t>Bundesverwaltungsgericht, 2014-11-25, FR</w:t>
      </w:r>
    </w:p>
    <w:p>
      <w:r>
        <w:rPr>
          <w:b/>
        </w:rPr>
        <w:t xml:space="preserve">Quelle: </w:t>
      </w:r>
      <w:r>
        <w:t>https://mcp.opencaselaw.ch/entscheid/bvger_B-3812_2012</w:t>
      </w:r>
    </w:p>
    <w:p>
      <w:r>
        <w:t>FR: TAF B-3812/2012 du 25 novembre 2014</w:t>
      </w:r>
    </w:p>
    <w:p>
      <w:r>
        <w:t>IT: TAF B-3812/2012 del 25 novembre 2014</w:t>
      </w:r>
    </w:p>
    <w:p>
      <w:pPr>
        <w:pStyle w:val="Heading2"/>
      </w:pPr>
      <w:r>
        <w:t>Regeste</w:t>
      </w:r>
    </w:p>
    <w:p>
      <w:r>
        <w:t>Opposition</w:t>
      </w:r>
    </w:p>
    <w:p>
      <w:pPr>
        <w:pStyle w:val="Heading2"/>
      </w:pPr>
      <w:r>
        <w:t>Erwägungen</w:t>
      </w:r>
    </w:p>
    <w:p>
      <w:r>
        <w:rPr>
          <w:b/>
        </w:rPr>
        <w:t>E. 1</w:t>
      </w:r>
    </w:p>
    <w:p>
      <w:r>
        <w:t>Le Tribunal administratif fédéral est compétent pour statuer sur les présents recours (art. 31, 32 et 33 let. e LTAF et art. 5 al. 2 PA). La qualité pour recourir doit être reconnue à la recourante (art. 48 al. 1 PA). Les autres conditions de recevabilité sont respectées (art. 11, 50, 52 al. 1 et 63 al. 4 PA). Les recours sont ainsi recevables.</w:t>
      </w:r>
    </w:p>
    <w:p>
      <w:r>
        <w:rPr>
          <w:b/>
        </w:rPr>
        <w:t>E. 2</w:t>
      </w:r>
    </w:p>
    <w:p>
      <w:r>
        <w:t>Les deux recours (B-3812/2012 et B-3823/2012) sont dirigés contre deux décisions du 20 juin 2012 par lesquelles l'autorité inférieure admet les deux oppositions (no 12123 et no 12124) formées par l'intimée et révoque l'enregistrement des deux marques attaquées. Tant dans la procédure B 3812/2012 que dans la procédure B-3823/2012, la marque attaquée est la marque suisse n° 620'017 "FX BLUE STYLE EFFECTS (fig.)". Quant aux marques opposantes (marque suisse no 599'614 "[fig.]" [B-3812/2012] et marque suisse no 570'991 "Winston BLUE [fig.]" [B-3823/2012]), elles constituent des signes présentant certaines analogies, ont toutes les deux l'intimée pour titulaire et sont enregistrées pour les mêmes produits. Vu que les deux recours opposent les mêmes parties, concernent des faits de même nature et portent sur des questions juridiques communes (ATF 128 V 124 consid. 1 [et les références citées]), il convient, pour des motifs d'économie de procédure, de joindre les causes B-3812/2012 et B 3823/2012 et de ne rendre qu'un seul arrêt sous la référence B 3812/2012 (cf. arrêt du TAF B-38/2011, B-39/2011 et B-40/2011 du 29 avril 2011 consid. 1.1 "IKB/ ICB [fig.]", "IKB/ICB" et "IKB/ ICB BANKING GROUP"; Moser/Beusch/Kneubühler, Prozessieren vor dem Bundesverwaltungsgericht 2013, n. 3.17 ; art. 4 PA et art. 24 de la loi fédérale du 4 décembre 1947 de procédure civile fédérale [PCF, RS 273]).</w:t>
      </w:r>
    </w:p>
    <w:p>
      <w:r>
        <w:rPr>
          <w:b/>
        </w:rPr>
        <w:t>E. 3</w:t>
      </w:r>
    </w:p>
    <w:p>
      <w:r>
        <w:t>L'art. 3 al. 1 let. c de la loi sur la protection des marques du 28 août 1992 (LPM, RS 232.11) exclut de la protection les signes similaires à une marque antérieure et destinés à des produits ou services identiques ou similaires, lorsqu'il en résulte un risque de confusion.</w:t>
      </w:r>
    </w:p>
    <w:p>
      <w:r>
        <w:rPr>
          <w:b/>
        </w:rPr>
        <w:t>E. 3.1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ATF 119 II 473 consid. 2c "Radion" et ATF 122 III 382 consid. 1 "Kamillosan").</w:t>
      </w:r>
    </w:p>
    <w:p>
      <w:r>
        <w:rPr>
          <w:b/>
        </w:rPr>
        <w:t>E. 3.2</w:t>
      </w:r>
    </w:p>
    <w:p>
      <w:r>
        <w:t>L'appréciation du risque de confusion ne s'effectue pas en comparant abstraitement les signes, mais en prenant en considération toutes les circonstances du cas concret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du TAF B 4260/2010 du 21 décembre 2011 consid. 5.1 "Bally"/ "BALU [fig.]"; Lucas David, Kommentar zum schweizerischen Privatrecht, Markenschutzgesetz/ Muster- und Modellgesetz, 2e éd. 1999, ad art. 3 LPM n° 8).</w:t>
      </w:r>
    </w:p>
    <w:p>
      <w:r>
        <w:rPr>
          <w:b/>
        </w:rPr>
        <w:t>E. 3.3</w:t>
      </w:r>
    </w:p>
    <w:p>
      <w:r>
        <w:t>L'examen de l'existence d'un risque de confusion suppose également de déterminer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(Gallus Joller, Markenschutzgesetz [MSchG], 2009, ad art. 3 n° 49 ss ; arrêt du TAF B-7352/2008 du 17 juin 2009 consid. 7 "Torres"/ "Torre Saracena").</w:t>
      </w:r>
    </w:p>
    <w:p>
      <w:r>
        <w:rPr>
          <w:b/>
        </w:rPr>
        <w:t>E. 4</w:t>
      </w:r>
    </w:p>
    <w:p>
      <w:r>
        <w:t>Il s'agit de déterminer tout d'abord à quels consommateurs les produits en cause sont destinés ainsi que le degré d'attention dont ces consommateurs font preuve. C'est en effet sur la base de la perception des personnes concernées que doivent être examinées les questions de la similarité des produits (consid. 5), de la similarité des signes (consid. 6) et du risque de confusion (consid. 7) (arrêts du TAF B-3310/2012 du 11 mars 2013 consid. 4 "RODOLPHE"/ "RODOLPHE [fig.]" et B-8006/2010 du 12 mars 2012 consid. 3 "viva! [fig.]"/ "viva figurstudios für frauen [fig.]").</w:t>
      </w:r>
    </w:p>
    <w:p>
      <w:r>
        <w:rPr>
          <w:b/>
        </w:rPr>
        <w:t>E. 4.1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 "Vasocor"; Ivan Cherpillod, Le droit suisse des marques, 2007, p. 110; Eugen Marbach, Schweizerisches Immaterialgüter- und Wettbewerbsrecht [ci-après: Marbach, SIWR], vol. III/1, Markenrecht, 2ème éd. 2009, nos 995 ss).</w:t>
      </w:r>
    </w:p>
    <w:p>
      <w:r>
        <w:rPr>
          <w:b/>
        </w:rPr>
        <w:t>E. 4.2.1</w:t>
      </w:r>
    </w:p>
    <w:p>
      <w:r>
        <w:t>En l'espèce, la marque attaquée est destinée aux produits "Tabak; Produkte aus Tabak, insbesondere Zigaretten; Raucherartikel; Anzünder/Feuerzeug; Streichhölzer; Aschenbecher" (classe 34). Les marques opposantes sont quant à elles toutes les deux destinées aux produits "Cigarettes; tabac brut ou manufacturé; articles pour fumeurs; allumettes" (classe 34).</w:t>
      </w:r>
    </w:p>
    <w:p>
      <w:r>
        <w:rPr>
          <w:b/>
        </w:rPr>
        <w:t>E. 4.2.2</w:t>
      </w:r>
    </w:p>
    <w:p>
      <w:r>
        <w:t>Les produits du tabac et articles pour fumeurs (classe 34) s'adressent aux spécialistes de ces produits, mais avant tout aux fumeurs, actuels et potentiels, de plus de 16 ans (arrêt du TF 4A_6/2013 du 16 avril 2013 consid. 3.2.4 "WILSON"; arrêts du TAF B-6831/2011 du 16 novembre 2012 consid. 3.1-3.2 "WILSON" et B-4362/2012 du 3 décembre 2013 consid. 4.2.2 "WINSTON"/ "WICKSON"; "WINSTON"/ "Wilton"), dont aucune attention particulière ne peut être attendue (arrêts du TAF B 2630/2012 du 4 juillet 2013 consid. 4.2.2 "LA CASA DEL HABANO"/ "CLUB PASSION HABANOS" et B-6046/2008 du 3 novembre 2010 consid. 5 et 7.1 "R Rothmans [fig.]"/ "Roseman Crown Agencies KING SIZE [fig.]").</w:t>
      </w:r>
    </w:p>
    <w:p>
      <w:r>
        <w:rPr>
          <w:b/>
        </w:rPr>
        <w:t>E. 5</w:t>
      </w:r>
    </w:p>
    <w:p>
      <w:r>
        <w:t>Il convient ensuite d'examiner, du point de vue des cercles de destinataires concernés, s'il existe une similarité entre les produits en cause.</w:t>
      </w:r>
    </w:p>
    <w:p>
      <w:r>
        <w:rPr>
          <w:b/>
        </w:rPr>
        <w:t>E. 5.1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Constituent, en revanche, des indices contre la similarité de produits des canaux de distribution séparés pour une même catégorie d'acheteurs ainsi que le rapport entre produit auxiliaire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 "[fig.]", B-137/2009 du 30 septembre 2009 consid. 4 "DIAPASON", B-8105/2007 du 17 novembre 2008 consid. 4.2 "ACTIVIA" et B-3268/2007 du 25 janvier 2008 consid. 3 "MBR"/ "MR [fig.]"; Marbach, SIWR, nos 817 ss; David, op. cit., art. 3 LPM n° 8, n° 35). Hormis les cas où le défaut d'usage a été invoqué avec succès, les produits et services figurant dans la liste de la marque antérieure sont déterminants pour l'examen de l'identité ou de la similarité (arrêts du TAF B-317/2010 du 13 septembre 2010 consid. 5.2 "Lifetex"/ "LIFETEA" et B 4260/2010 du 21 décembre 2011 consid. 6.2.1 "Bally"/ "BALU [fig.]"; Marbach, SIWR, no 1173).</w:t>
      </w:r>
    </w:p>
    <w:p>
      <w:r>
        <w:rPr>
          <w:b/>
        </w:rPr>
        <w:t>E. 5.2</w:t>
      </w:r>
    </w:p>
    <w:p>
      <w:r>
        <w:t>En l'espèce, il s'agit de retenir l'identité des produits en ce qui concerne les cigarettes (classe 34), auxquelles sont destinées tant la marque attaquée que les marques opposantes 1 et 2. Les autres produits revendiqués par la marque attaquée sont similaires aux autres produits revendiqués par les marques opposantes 1 et 2 en classe 34. Ces produits ont en effet une nature, une fonction et/ou un but proches, sont écoulés par les mêmes canaux de distribution, s'adressent aux mêmes consommateurs et entretiennent un rapport de complémentarité. Cette appréciation correspond à celle de l'autorité inférieure, laquelle n'est pas contestée par les parties.</w:t>
      </w:r>
    </w:p>
    <w:p>
      <w:r>
        <w:rPr>
          <w:b/>
        </w:rPr>
        <w:t>E. 6</w:t>
      </w:r>
    </w:p>
    <w:p>
      <w:r>
        <w:t>Il s'agit dans un deuxième temps de déterminer s'il existe une similarité entre les signes CH-Nr. 620 017 "FX BLUE STYLE EFFECTS (fig.)" et CH-Nr. 599 614 "(fig.)".</w:t>
      </w:r>
    </w:p>
    <w:p>
      <w:r>
        <w:rPr>
          <w:b/>
        </w:rPr>
        <w:t>E. 6.1</w:t>
      </w:r>
    </w:p>
    <w:p>
      <w:r>
        <w:t>La similarité entre deux signes est déterminée par l'impression d'ensemble laissée au public (cf.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Marbach, SIWR, no 867). Cette impression d'ensemble sera principalement influencée par les éléments dominants d'une marque; il s'agit en général des éléments les plus distinctifs (cf. arrêt du TAF B 2380/2010 du 7 décembre 2011 consid. 7.1.1 "lawfinder"/ "LexFind.ch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TAF B-38/2011, B-39/2011 et B-40/2011 du 29 avril 2011 consid. 7.1.2 "IKB"/ "ICB [fig.]", "IKB"/ "ICB" et "IKB"/ "ICB BANKING GROUP"). Il convient dès lors de prendre en considération et de pondérer chacun des éléments selon son influence respective sur l'impression d'ensemble, sans cependant les dissocier et décomposer le signe (arrêt du TAF B-7442/2006 du 18 mai 2007 consid. 4 "FEEL 'N LEARN"/ "SEE 'N LEARN"; Marbach, SIWR, n° 866 ; Joller, op. cit., ad art. 3 n° 122 s.). 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 930, et les réf. citées). Une similarité des éléments caractéristiques - verbaux ou figuratifs - ne peut être compensée par une dissemblance entre des composantes peu originales;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 931 ; arrêt du TAF B-1618/2011 du 25 septembre 2012 consid. 4.1 "EIFFEL"/ "GUSTAVE EIFFEL [fig.]"). Pour déterminer si deux marques verbales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no 875; David, op. cit., ad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w:t>
      </w:r>
    </w:p>
    <w:p>
      <w:r>
        <w:rPr>
          <w:b/>
        </w:rPr>
        <w:t>E. 6.2.1</w:t>
      </w:r>
    </w:p>
    <w:p>
      <w:r>
        <w:t>La recourante réfute plusieurs points de l'analyse effectuée par l'autorité inférieure. Elle reproche tout d'abord à l'autorité inférieure de ne pas avoir respecté les principes dégagés par le Tribunal fédéral relatifs à la comparaison des signes et considère qu'il n'est pas correct d'examiner un à un les éléments caractéristiques des marques aptes à rester dans la mémoire du consommateur moyen. Il faudrait prendre en compte leur influence sur l'impression d'ensemble laissé au public visé, ce qui n'aurait pas été fait. Il existerait des différences importantes entre les marques en présence. La recourante considère que les éléments prépondérants de sa marque sont l'acronyme "FX", le cercle, ainsi que la sphère quadrillée qui figurent sur la large banderole foncée. De l'avis de la recourante, le consommateur ne peut pas reconnaître la figure ailée à l'achat d'un paquet de cigarettes, une distance de deux mètres au moins le séparant de celui-ci dans un kiosque. D'autre part, les consommateurs visés ne confondraient pas les deux marques parce que la marque attaquée contiendrait d'autres éléments qu'une figure ailée. La figure ailée de la marque attaquée étant peu reconnaissable, l'on devinerait que difficilement le bec et la tête. Cette figure n'aurait pas de tronc et sa queue ne serait qu'une esquisse. Le dessin de ses ailes représenterait un "V", alors que les ailes de la marque opposante 1 formeraient un "U"; en retenant une similitude entre les deux figures, l'on ne ferait aucune différence entre un vol plané, un envol ou un atterrissage. Si l'on devait tout de même deviner une tête ou un bec s'agissant de la marque attaquée, l'élément en question figurerait au-dessous des ailes, alors que la tête se situerait au-dessus de celles-ci pour ce qui concerne la marque opposante 1. La tête de l'oiseau de la marque opposante 1 serait blanche, alors que l'ensemble de la figure de la marque attaquée serait "gris/noir/foncé". Les deux marques se différencieraient aussi par la petitesse de la figure ailée de la marque attaquée. Alors que la figure ailée serait à peine reconnaissable, la large banderole foncée et l'acronyme "FX" seraient les éléments prépondérants de la marque attaquée, à même de rester dans la mémoire du consommateur moyen.</w:t>
      </w:r>
    </w:p>
    <w:p>
      <w:r>
        <w:rPr>
          <w:b/>
        </w:rPr>
        <w:t>E. 6.2.2</w:t>
      </w:r>
    </w:p>
    <w:p>
      <w:r>
        <w:t>L'intimée, dans sa réponse du 22 octobre 2012, conteste l'absence de méthode s'agissant de l'analyse menée par l'autorité inférieure et la non-conformité de cette analyse avec les principes dégagés de la jurisprudence.</w:t>
      </w:r>
    </w:p>
    <w:p>
      <w:r>
        <w:rPr>
          <w:b/>
        </w:rPr>
        <w:t>E. 6.2.3.1</w:t>
      </w:r>
    </w:p>
    <w:p>
      <w:r>
        <w:t>La marque attaquée "FX BLUE STYLE EFFECTS (fig.)" est une marque combinée, alors que la marque opposante 1 est une marque figurative. Sans revendication de couleur et tridimensionnelle, elle représente un paquet de cigarettes décomposé dont chaque côté est visible. Les parties frontale et dorsale ainsi que le dessus et le dessous de l'emballage sont ornés d'une banderole foncée. Cette dernière est coupée par un globe terrestre dans lequel s'insère dans une nuance plus claire l'acronyme "FX". En dessus et en dessous du cercle, deux lignes s'estompant dans leurs extrémités sont visibles sur les parties frontale et dorsale ainsi que sur le dessus et le dessous de l'emballage. Sur la partie frontale, l'élément verbal "BLUE" est placé en dessous de la banderole à gauche et les éléments "STYLE EFFECTS" sont intégrés à la banderole, à droite du cercle. Un oiseau, les ailes déployées et la tête orientée vers la droite, figure dans le coin droit de la partie frontale, en dessus de la banderole. Sur la partie dorsale de l'emballage, en plus de l'acronyme "FX" dans le cercle, un texte difficilement lisible est inscrit sur la banderole, alors qu'un rectangle clair est placé en dessus de celle-ci. Les éléments verbaux "STYLE EFFECTS" et "BLUE" sont apposés respectivement en dessus et en dessous de la banderole à gauche. Les côtés de l'emballage sont ornés d'éléments simples tels que des traits ou un rectangle. Un texte peu lisible figure dans la partie supérieure de chaque côté. Sur le côté droit, on retrouve en outre l'acronyme "FX", cette fois sans cercle, ainsi que les éléments verbaux "STYLE EFFECTS".</w:t>
      </w:r>
    </w:p>
    <w:p>
      <w:r>
        <w:rPr>
          <w:b/>
        </w:rPr>
        <w:t>E. 6.2.3.2</w:t>
      </w:r>
    </w:p>
    <w:p>
      <w:r>
        <w:t>La marque opposante 1, sans revendication de couleur, consiste en un rapace, plus précisément en un pygargue à tête blanche dont on distingue bien la tête blanche, le bec, le corps foncé, les ailes et la queue terminées par des plumes au tracé net et précis. L'oiseau orienté vers la droite est en position de vol plané, les ailes bien déployées.</w:t>
      </w:r>
    </w:p>
    <w:p>
      <w:r>
        <w:rPr>
          <w:b/>
        </w:rPr>
        <w:t>E. 6.2.3.3</w:t>
      </w:r>
    </w:p>
    <w:p>
      <w:r>
        <w:t>Les banderoles de la marque attaquée sont des éléments d'emballage très fréquents sur des paquets de cigarettes et les cercles sont des figures géométriques banales sans caractère distinctif. Alors que l'oiseau de la marque attaquée est floue, les teintes de la figure ailée de la marque opposante 1 sont nettes. L'élément figuratif "oiseau", élément unique de la marque opposante 1, est repris dans la marque attaquée. La figure ailée de la marque attaquée se démarque clairement par sa position sur fond clair en dessus de la banderole tout en haut de la partie frontale de l'emballage et constitue par conséquent un élément prépondérant de cette marque dans l'impression d'ensemble de celle-ci. Dans les deux cas, l'oiseau qui vole, les ailes largement déployées, adopte la même direction, soit la tête dirigée vers la droite. Peu importe qu'il puisse s'agir d'un aigle ordinaire, d'un pygargue à tête blanche ou d'un autre rapace. De surcroît, le caractère tridimensionnel de la marque attaquée n'apparaît pas comme relevant. Il convient donc de retenir, à tout le moins, une faible similitude entre les deux marques sur le plan visuel. La marque opposante 1 ne comprenant aucun élément sonore, il n'y a pas lieu d'examiner ce critère. D'un point de vue sémantique, l'élément verbal "STYLE EFFECTS" (traduction: "effets de style") de la marque attaquée, lequel figure à trois endroits, vise à donner une bonne image du consommateur qui deviendrait par ce biais une personne jouissant d'un certain charisme. Quant à l'acronyme "FX" de la marque attaquée, il ne présente pas de signification particulière. Enfin, la figure ailée en position de vol qui dégage un sentiment de liberté et de détente et que l'on peut observer dans les deux marques permet de retenir entre celles-ci une certaine similitude sur le plan sémantique.</w:t>
      </w:r>
    </w:p>
    <w:p>
      <w:r>
        <w:rPr>
          <w:b/>
        </w:rPr>
        <w:t>E. 6.2.3.4</w:t>
      </w:r>
    </w:p>
    <w:p>
      <w:r>
        <w:t>Sur le vu de ce qui précède, la marque attaquée et la marque opposante 1 doivent être considérées comme présentant certaines similarités.</w:t>
      </w:r>
    </w:p>
    <w:p>
      <w:r>
        <w:rPr>
          <w:b/>
        </w:rPr>
        <w:t>E. 7</w:t>
      </w:r>
    </w:p>
    <w:p>
      <w:r>
        <w:t>Vu l'identité, respectivement la similarité des produits en cause (cf. supra consid. 5.2) et la similarité entre les signes (cf. supra consid. 6.2.3), il convient de déterminer s'il existe un risque de confusion entre la marque attaquée et la marque opposante 1. La question du risque de confusion doit être résolue en tenant compte tant du degré d'attention dont font preuve les destinataires des produits pour lesquels les marques sont enregistrées (cf. supra consid. 4) que de l'étendue du champ de protection de la marque opposante.</w:t>
      </w:r>
    </w:p>
    <w:p>
      <w:r>
        <w:rPr>
          <w:b/>
        </w:rPr>
        <w:t>E. 7.1</w:t>
      </w:r>
    </w:p>
    <w:p>
      <w:r>
        <w:t>Le champ de protection d'une marque dépend de sa force distinctive. Il est plus restreint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 "RAM Swiss Watch AG";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arrêt du TAF B-1077/2008 du 3 mars 2009 consid. 6 "Sky"/ "SkySIM").</w:t>
      </w:r>
    </w:p>
    <w:p>
      <w:r>
        <w:rPr>
          <w:b/>
        </w:rPr>
        <w:t>E. 7.2.1</w:t>
      </w:r>
    </w:p>
    <w:p>
      <w:r>
        <w:t>Dans la décision attaquée 1, l'autorité inférieure considère que l'oiseau à ailes foncées et à tête claire, seul élément de la marque opposante 1, serait un signe fantaisiste en relation avec les produits concernés. La marque opposante 1 jouirait donc d'un champ de protection normal.</w:t>
      </w:r>
    </w:p>
    <w:p>
      <w:r>
        <w:rPr>
          <w:b/>
        </w:rPr>
        <w:t>E. 7.2.2</w:t>
      </w:r>
    </w:p>
    <w:p>
      <w:r>
        <w:t>Selon la recourante, le champ de protection de la marque opposante 1, considéré comme normal, est indûment élargi. La recourante reproche également à l'autorité inférieure de n'avoir ni mentionné ni évalué l'impact de l'élément figuratif considéré comme déterminant par celle-ci mais qui de son point de vue se noie dans l'impression d'ensemble. La décision serait ainsi dépourvue de tout fondement. L'élément "FX" suffirait déjà, par un rapide un coup d'oeil, à distinguer la marque attaquée de la marque opposante 1. Tout risque de confusion serait donc exclu. La recourante reproche aussi à l'intimée de vouloir intégrer le terme "Winston" à l'objet du litige, alors que ce terme ne ressort d'aucune des deux marques de la cause et que seule la figure ailée fait l'objet du recours. La recourante se réfère aussi à la jurisprudence de la Cour de justice de l'Union européenne (cf. arrêt du 18 octobre 2012 C 101/11 P et C 102/11 P ch. 23 produit en annexe à sa réplique) pour estimer que les nombreuses différences des marques du cas d'espèce excluent tout risque de confusion. Les pièces produites par l'intimée en annexe à sa réponse n'auraient aucune pertinence.</w:t>
      </w:r>
    </w:p>
    <w:p>
      <w:r>
        <w:rPr>
          <w:b/>
        </w:rPr>
        <w:t>E. 7.2.3</w:t>
      </w:r>
    </w:p>
    <w:p>
      <w:r>
        <w:t>Selon l'intimée, les considérants de la décision relatifs à l'appréciation du risque de confusion sont clairs et suffisamment développés. L'autorité inférieure aurait correctement retenu que la figure ailée de la marque attaquée représente un élément caractéristique de celle-ci et qu'elle est un signe fantaisiste en relation avec les produits concernés. Comme cette figure présente la même silhouette, en vol, ailes déployées, tête en direction de la droite que celle de la marque opposante 1, il ne s'agirait pas d'une représentation propre et autonome d'un même motif abstrait, mais d'une simple adaptation de l'élément figuratif de la marque opposante 1. "Winston" serait une des marques de cigarettes les plus connues dans le monde, ainsi que dans notre pays. L'intimée se réfère ici à l'enquête sur la consommation de tabac en Suisse de 2001 à 2007, publiée sous les auspices de l'Office fédéral de la santé publique, ainsi qu'aux multiples pièces produites dans le cadre de cette procédure. Selon cette enquête, la marque "Winston" de l'intimée aurait atteint durant les années 2006 et 2007, parmi les fumeurs journaliers, une part de marché de 6%, à égalité avec les marques "Philip Morris" et "Camel", ceci derrière les marques "Marlboro" et "Parisienne", toutes deux avec 19%. L'aigle aurait fait son apparition sur les paquets "Winston" dans les années 1980. Dès l'acquisition de la marque "Winston" par l'intimée en 1999, l'image de l'aigle serait devenue un élément plus important dans le design des paquets et, partant, un élément prépondérant des autres marques composées, englobant la marque opposante 1 à titre d'élément figuratif. Sur la centaine de marques détenues en Suisse, relatives à ses produits "Winston", soixante-trois contiendraient l'image de l'aigle dont quarante-cinq déposées entre le 4 septembre 1996 et le 26 avril 2010, soit avant le dépôt de la marque attaquée. Selon une revue périodique spécialisée pour le marché du tabac, The Maxwell Report, la marque "Winston" aurait progressé dans le classement mondial des marques de la quatrième à la deuxième place. Selon un rapport d'Euromonitor, une autre société indépendante d'analyse de marchés, pour les cigarettes, la marque "Winston" aurait occupé en 2010 la deuxième place sur le plan mondial, hormis la Chine. Sur le plan suisse, les ventes de cigarettes "Winston" auraient sensiblement progressé (hausse de 108%) entre 2003 (459 millions) et 2011 (914 millions), correspondant à des parts de marché passant, durant cette même période, de 3,2% à 8,1% sur l'ensemble de la Suisse. L'intimée consacrerait des ressources importantes sur le plan mondial à la promotion et à la communication relatives à ses marques "Winston". L'intimée développerait aussi diverses activités de communication et de promotion propres à la Suisse pour un budget annuel variant, pour les années 2004 à 2012, de six à treize millions de francs. Compte tenu de l'absence de lien de l'élément figuratif ailé par rapport aux produits revendiqués de la classe 34, il n'y aurait aucune raison de ne pas considérer cet élément comme doté d'une force distinctive normale. En raison de l'importance de la commercialisation des produits vendus dans un emballage comportant la marque opposante 1, ainsi que des parts de marché acquises en Suisse pour ces produits entre les années 2004 et 2010, de l'intensité des activités de communication et de promotion menées par l'intimée, sur le plan international comme en Suisse, il conviendrait même de reconnaître à la marque opposante 1 une sphère de protection accrue. La légère modification opérée pour arriver au dessin figurant dans la marque attaquée serait d'autant moins déterminante que la comparaison entre les marques devrait se faire essentiellement en fonction du souvenir que conserve le consommateur de chacune d'elles et qu'il serait admis que les différences entre les représentations graphiques restent moins bien ancrées dans le souvenir que des différences entre des mots. Malgré les différences constatées entre les marques, en particulier l'élément verbal "FX", la reprise de la figure ailée serait de nature à entraîner un risque de confusion, ceci d'autant plus que les marques s'appliquent à des produits identiques ou similaires. Par les documents produits dans le cadre de la procédure, l'intimée estime avoir démontré l'usage intensif qu'elle fait de la marque opposante 1 en Suisse comme sur le plan mondial, dans le cadre de la commercialisation de ses produits de marque "Winston". L'usage côte à côte de deux marques enregistrées séparément, l'une verbale, l'autre figurative, viserait à renforcer leur association dans l'esprit du public, la notoriété de l'une rejaillissant sur l'autre. Il serait fréquent dans la pratique et resterait sans incidence sur la perception de la marque figurative en tant que marque individuelle (arrêt du TAF B-5732/2009, consid. 7.2.1, 7.2.3 et 7.2.4 "AVIATOR"). Enfin, même si la référence à l'arrêt de la Cour de justice de l'Union européenne est intéressante, elle serait en l'espèce sans pertinence.</w:t>
      </w:r>
    </w:p>
    <w:p>
      <w:r>
        <w:rPr>
          <w:b/>
        </w:rPr>
        <w:t>E. 7.2.4</w:t>
      </w:r>
    </w:p>
    <w:p>
      <w:r>
        <w:t>Il faut avant tout rappeler le caractère commun de la banderole et des éléments verbaux "STYLE EFFECTS" et "BLUE" qui désigne un produit allégé en comparaison avec un produit qui contiendrait davantage de nicotine. Si l'acronyme "FX" et le globe attirent fatalement l'attention du consommateur, il n'en demeure pas moins que l'élément le plus intriguant de la marque et, partant, l'élément prépondérant de celle-ci consiste dans la figure ailée qui se laisse très volontiers comparer à un aigle en plein vol, ou à tout le moins à un rapace, qui s'oriente vers la droite. Cet oiseau est d'autant plus identifiable qu'il se situe sur la partie supérieure de la face frontale à droite. Les annexes produites au cours de l'instruction attestent de la présence quasi-permanente du pygargue à tête blanche sur les produits de l'intimée. La marque opposante 1 constituée d'un pygargue à tête blanche est une marque imaginative et doit ainsi bénéficier d'un champ de protection au moins normal, si bien que les quelques différences avec la marque attaquée décrites plus haut ne suffisent pas, face à la prépondérance de la figure ailée, à distinguer les deux marques. La question de savoir si la marque opposante 1 jouit d'un champ de protection accru peut ainsi demeurer ouverte. En tant que l'oiseau de la marque attaquée est, comme l'oiseau de la marque opposante 1, en position de vol, qu'il s'oriente vers la droite et qu'il s'agit selon toute vraisemblance d'un aigle ou d'un autre rapace, il faut admettre qu'il y a à tout le moins un risque de confusion indirect entre ces deux marques. Il ne peut en effet pas être exclu que le public, bien qu'il puisse distinguer les deux signes, présume de l'existence de rapports qui n'existent pas, notamment en pensant à des marques de série. La référence à la jurisprudence de la Cour de justice européenne (cf. C 101/11 P et C-102/11 P [causes jointes]) est écartée dans la mesure où les autorités suisses n'y sont pas liées. D'ailleurs, la Cour de justice européenne compare dans cette affaire deux marques figuratives uniquement, à savoir deux logos qui se rapportent à des produits ne présentant de surcroît aucune similitude avec le cas d'espèce.</w:t>
      </w:r>
    </w:p>
    <w:p>
      <w:r>
        <w:rPr>
          <w:b/>
        </w:rPr>
        <w:t>E. 7.2.5</w:t>
      </w:r>
    </w:p>
    <w:p>
      <w:r>
        <w:t>Sur le vu de l'ensemble de ce qui précède, il sied de constater que la décision attaquée 1 ne viole pas le droit fédéral et ne traduit pas un excès ou un abus du pouvoir d'appréciation. Elle ne relève pas non plus d'une constatation inexacte ou incomplète des faits pertinents et n'est pas inopportune (art. 49 PA). Dès lors que l'autorité inférieure a décidé à juste titre la révocation de la marque suisse CH-Nr. 620'017 "FX BLUE STYLE EFFECTS (fig.)", le recours B 3812/2012, mal fondé, doit être rejeté.</w:t>
      </w:r>
    </w:p>
    <w:p>
      <w:r>
        <w:rPr>
          <w:b/>
        </w:rPr>
        <w:t>E. 8</w:t>
      </w:r>
    </w:p>
    <w:p>
      <w:r>
        <w:t>Compte tenu du rejet du recours B-3812/2012 et de la confirmation de la révocation de la marque attaquée, le recours B-3823/2012 visant également au maintien de celle-ci devient sans objet et la cause doit être radiée du rôle.</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ou si la procédure est devenue sans objet sans que cela soit imputable aux parties, les frais de procédure sont fixés au vu de l'état des faits avant la survenance du motif de liquidation (art. 5 FITAF). A titre exceptionnel, ils peuvent être entièrement remis (art. 6 FITAF).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"Turbinenfuss [3D]").</w:t>
      </w:r>
    </w:p>
    <w:p>
      <w:r>
        <w:rPr>
          <w:b/>
        </w:rPr>
        <w:t>E. 9.2</w:t>
      </w:r>
    </w:p>
    <w:p>
      <w:r>
        <w:t>En l'espèce, vu la jonction des deux recours visant chacun au maintien de la marque attaquée, il se justifie de fixer les frais de procédure à Fr. 5'000.- et de les mettre à la charge de la recourante qui n'obtient pas gain de cause. Ce montant est compensé par les avances de frais de Fr. 4'000.- chacune versées dans les causes B-3812/2012 et B-3823/2012 (c'est-à-dire un montant total de Fr. 8'000.-) et le solde de Fr. 3'000.- est restitué à la recourante.</w:t>
      </w:r>
    </w:p>
    <w:p>
      <w:r>
        <w:rPr>
          <w:b/>
        </w:rPr>
        <w:t>E. 10.1</w:t>
      </w:r>
    </w:p>
    <w:p>
      <w:r>
        <w:t>La partie qui obtient entièrement ou partiellement gain de cause et qui est représentée par un mandataire a droit à des dépens (art. 64 al. 1 PA en relation avec l'art. 7 al. 1 et 2 FITAF). Lorsqu'une procédure devient sans objet, le tribunal examine s'il y a lieu d'allouer des dépens (art. 15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Le tarif horaire des avocats est de Fr. 200.- au moins et de Fr. 400.- au plus, pour les mandataires professionnels n'exerçant pas la profession d'avocat, il est de Fr. 100.- au moins et de Fr. 300.- au plus; ces tarifs s'entendent hors TVA (art. 10 al. 2 FITAF). Selon l'art. 14 al. 1 FITAF, les parties qui ont droit aux dépens doivent faire parvenir au Tribunal, avant le prononcé de la décision, un décompte de leurs prestations. Le Tribunal fixe les dépens sur la base du décompte; à défaut de décompte, il fixe l'indemnité sur la base du dossier (art. 14 al. 2 FITAF).</w:t>
      </w:r>
    </w:p>
    <w:p>
      <w:r>
        <w:rPr>
          <w:b/>
        </w:rPr>
        <w:t>E. 10.2.1</w:t>
      </w:r>
    </w:p>
    <w:p>
      <w:r>
        <w:t>En l'espèce, l'intimée, qui est représentée, a droit à des dépens. Du fait qu'aucun décompte n'a été produit, il convient de fixer l'indemnité sur la base des dossiers. Etant donné que les procédures ne comportaient pas de questions de fait ou de droit inhabituelles ou exceptionnellement ardues et que les mémoires déposés dans la cause B-3823/2012 correspondent pour l'essentiel aux mémoires déposés dans la cause B-3812/2012, le montant des dépens alloués à l'intimée, à la charge de la recourante, doit être fixé à Fr. 3'000.- (non assujetti à la TVA) pour les deux procédures de recours. Ce montant n'est pas soumis à la TVA, car cet impôt n'est perçu que sur les prestations que les assujettis fournissent à titre onéreux sur le territoire suisse et par conséquent pas dans le cas d'espèce, dans lequel les services du mandataire ont été fournis en faveur de l'intimée, dont le siège se situe à l'étranger (art. 1 al. 1 et 2, art. 8 al. 1 et art. 18 al. 1 de la loi fédérale du 12 juin 2009 régissant la taxe sur la valeur ajoutée [Loi sur la TVA, LTVA, RS 641.20], en relation avec l'art. 9 al. 1 let. c FITAF ; cf. arrêt du Tribunal administratif fédéral B-418/2012 du 18 avril 2013 consid. 7.2 "DERMACYTE").</w:t>
      </w:r>
    </w:p>
    <w:p>
      <w:r>
        <w:rPr>
          <w:b/>
        </w:rPr>
        <w:t>E. 11</w:t>
      </w:r>
    </w:p>
    <w:p>
      <w:r>
        <w:t>Le présent arrêt est définitif (art. 73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