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B-3663/2011 vom 17. April 2013</w:t>
      </w:r>
    </w:p>
    <w:p>
      <w:r>
        <w:t>Bundesverwaltungsgericht, 2013-04-17, DE</w:t>
      </w:r>
    </w:p>
    <w:p>
      <w:r>
        <w:rPr>
          <w:b/>
        </w:rPr>
        <w:t xml:space="preserve">Quelle: </w:t>
      </w:r>
      <w:r>
        <w:t>https://mcp.opencaselaw.ch/entscheid/bvger_B-3663_2011</w:t>
      </w:r>
    </w:p>
    <w:p>
      <w:r>
        <w:t>FR: TAF B-3663/2011 du 17 avril 2013</w:t>
      </w:r>
    </w:p>
    <w:p>
      <w:r>
        <w:t>IT: TAF B-3663/2011 del 17 aprile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Bst. e des Verwaltungsgerichtsgesetzes vom 17. Juni 2005 [VGG, SR 173.32]). Die Beschwerden wurden innerhalb der gesetzlichen Frist von Art. 50 des Bundesgesetzes vom 20. Dezember 1968 über das Verwaltungsverfahren (VwVG, SR 172.021) am 27. Juni 2011 frist- und formgerecht eingereicht (Art. 52 Abs. 1 VwVG) und die verlangten Kostenvorschüsse rechtzeitig geleistet (Art. 63 Abs. 4 VwVG). Als Adressatinnen der angefochtenen Verfügung sind die Beschwerdeführerinnen beschwert und haben je ein schutzwürdiges Interesse an ihrer Aufhebung oder Änderung. Sie sind somit zur Beschwerdeführung legitimiert (Art. 48 Abs. 1 VwVG). Ebenso liegen die übrigen Sachurteilsvoraussetzungen gemäss Art. 48 ff. VwVG vor. Auf die Beschwerden ist daher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Widerspruch gegen entsprechende jüngere Markeneintragungen erheben (Art. 31 Abs. 1 MSchG). Vorliegend erhob die Inhaberin der älteren schweizerischen Marken Nr. 543 347 "intel inside (fig.)", hinterlegt am 21. Dezember 2005, und Nr. 589 343 "INTEL INSIDE", hinterlegt am 10. März 2009, gestützt darauf je Widerspruch gegen die am 24. April 2009 hinterlegte und damit jüngere schweizerische Marke Nr. 594 988 "GALDAT INSIDE". Die am 19. März 2010 erhobenen Widersprüche erfolgten rechtzeitig (vgl. Art. 31 Abs. 2 MSchG).</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4.1</w:t>
      </w:r>
    </w:p>
    <w:p>
      <w:r>
        <w:t>Als erstes sind die massgeblichen Verkehrskreise für die im Widerspruch stehenden Waren und Dienstleistungen zu bestimmen (Eugen Marbach, Die Verkehrskreise im Markenrecht, in: sic! 2007, S. 1, 6 f. und 11). Ausgangspunkt für die Bestimmung der Verkehrskreise ist das Waren- und Dienstleistungsverzeichnis der älteren Marke (vgl. Joller, a.a.O., Art. 3, N. 49). Dabei spielt es entgegen der Meinung der Beschwerdeführerin 2 keine Rolle, welche marketingmässige Positionierung die Hinterlegerin mit ihrer Waren und Dienstleistungen bezweckt (Joller, a.a.O., Art. 3 N. 49). Aus diesem Grund sind ihre diesbezüglichen Einwendungen nicht zu hören (vgl. Ziff. 19 der Beschwerde 2 mit Verweis auf Ziff. 10 ff. der Widerspruchsantwort).</w:t>
      </w:r>
    </w:p>
    <w:p>
      <w:r>
        <w:rPr>
          <w:b/>
        </w:rPr>
        <w:t>E. 4.1.1</w:t>
      </w:r>
    </w:p>
    <w:p>
      <w:r>
        <w:t>Die von den Widerspruchsmarken beanspruchten Waren der Klasse 9 sind Produkte aus dem Bereich Elektronik, Musik- bzw. Datenspeicherung und IT. Hard- und Software, Datenübertragungs- und Aufnahmegeräte, sowie Datenträger richten sich sowohl an Spezialisten als auch an den Durchschnittskonsumenten (Urteil des Bundesverwaltungsgerichts B-8028/2010 vom 2. Mai 2012 E. 4.1.1 VIEW/SWISSVIEW [fig.]).</w:t>
      </w:r>
    </w:p>
    <w:p>
      <w:r>
        <w:rPr>
          <w:b/>
        </w:rPr>
        <w:t>E. 4.1.2</w:t>
      </w:r>
    </w:p>
    <w:p>
      <w:r>
        <w:t>Angesichts der Tatsache, dass der Widerspruch der Beschwerdeführerin 1 sich auch gegen Dienstleistungen richte, für welche ihre Marken keinen Schutz beanspruchen, sind die Verkehrskreise der von der angefochtenen Marke beanspruchten Dienstleistungen hilfsweise ebenfalls zu bestimmen. Die angefochtene Marke ist nebst den in Klasse 9 beanspruchten Waren auch für Dienstleistungen der Klassen 35, 38 und 42 hinterlegt. Die in Klasse 35 beanspruchten Dienstleistungen "Zusammenstellen, Systematisieren und Verwalten von Daten mittels Computer, insbesondere in Computerdatenbanken" sind kaufmännische Dienstleistungen, welche zwar keine alltäglichen Bedürfnisse abdecken, aber auch nicht nur im Zusammenhang mit spezifischen Fragen des wirtschaftlichen Verkehrs erbracht werden. Solche Dienste werden daher in erster Linie von Fachpersonen in Anspruch genommen (Urteile des Bundesverwaltungsgerichts B-1398/2011 vom 25. September 2012 E. 5.4 ETAVIS/ESTAVIS [fig.], B-1009/2010 vom 14. März 2011 E. 3.1 CREDIT SUISSE/UniCredit Suisse Bank [fig.]). Die in der Klasse 38 bean­spruchten Dienstleistungen der Telekommunikation richten sich sowohl an Fachkreise als auch an Durchschnitts­kon­sumenten (Urteile des Bundesverwaltungsgerichts B-8028/2010 vom 2. Mai 2012 E. 4.1.2 VIEW/SWISSVIEW [fig.], B-2380/2010 vom 7. Dezember 2011 E. 5 lawfinder/LexFind.ch [fig.]). Gleiches gilt auch für die jeweils in Klasse 42 beanspruchten Dienstleistungen: Während vor allem die wissenschaftlichen und industriellen Dienstleistungen sich vornehmlich an Fachkreise richten, werden Software- und Hardware-Entwicklungsdienstleistungen auch von Durchschnittskonsumenten in Anspruch genommen (Urteil des Bundesverwaltungsgerichts B-2380/2010 vom 7. Dezember 2011 E. 5 lawfinder/LexFind.ch [fig.]). Es sind daher für einen Teil der beanspruchten Dienstleistungen in den Klassen 38 und 42 vornehmlich Fachkreise und für den anderen Teil auch Durchschnittskonsumenten als massgebende Verkehrskreise anzusehen, wobei vorliegend aufgrund der nachstehenden Erwägungen offen bleiben kann, wie die beanspruchten Dienstleistungen zu differenzieren sind.</w:t>
      </w:r>
    </w:p>
    <w:p>
      <w:r>
        <w:rPr>
          <w:b/>
        </w:rPr>
        <w:t>E. 4.2</w:t>
      </w:r>
    </w:p>
    <w:p>
      <w:r>
        <w:t>Die Bestimmung der massgeblichen Verkehrskreise ist im Rahmen der Prüfung einer allfälligen Verwechslungsgefahr zweier Marken, vor allem in Bezug auf die Frage der Aufmerksamkeit der Abnehmer, von Bedeutung. Je höher die Aufmerksamkeit bei der Inanspruchnahme der fraglichen Dienstleistungen, desto höher ist das Unterscheidungsvermögen der angesprochenen Abnehmerkreise (Joller, a.a.O., Art. 3 N. 52).</w:t>
      </w:r>
    </w:p>
    <w:p>
      <w:r>
        <w:rPr>
          <w:b/>
        </w:rPr>
        <w:t>E. 4.2.1</w:t>
      </w:r>
    </w:p>
    <w:p>
      <w:r>
        <w:t>Wie bereits dargelegt, bildet sich der massgebliche Verkehrskreis der in Klasse 9 beanspruchten Waren aus Endabnehmer, d.h. Durchschnittskonsumenten, und Fachpersonen aus der IT- und Elektronikbranche. Die betroffenen Waren werden zwar mit einer bestimmten Regelmässigkeit, aber doch nicht täglich erworben, so dass angenommen werden muss, dass der vorliegende Abnehmer den Markeninhaber bewusster, und daher zumindest mit einer leicht erhöhten Aufmerksamkeit aussucht (Urteile des Bundesverwaltungsgerichts B-3920/2011 vom 29. Januar 2013 E. 8 GLASS FIBER NET, B-8028/2010 vom 2. Mai 2012 E. 4.2.1 VIEW/SWISSVIEW [fig.]).</w:t>
      </w:r>
    </w:p>
    <w:p>
      <w:r>
        <w:rPr>
          <w:b/>
        </w:rPr>
        <w:t>E. 4.2.2</w:t>
      </w:r>
    </w:p>
    <w:p>
      <w:r>
        <w:t>Auch in Bezug auf die in den Klassen 35, 38 und 42 beanspruchten Dienstleistungen ist festzustellen, dass diese nicht nur alltägliche Bedürfnisse abdecken und daher grundsätzlich eine intensivere wirtschaftliche Beziehung voraussetzen. Es ist demach anzunehmen, dass die Abnehmer bei der Inanspruchnahme besagter Dienstleistungen einen leicht erhöhten Grad an Aufmerksamkeit walten lassen (vgl. auch Urteile des Bundesverwaltungsgerichts B-3920/2011 vom 29. Januar 2013 E. 8 GLASS FIBER NET, B-1398/2011 vom 25. September 2012 E. 5.4 ETAVIS/ESTAVIS [fig.], B-8028/2010 vom 2. Mai 2012 E. 4.2.2 VIEW/SWISSVIEW [fig.], B-1009/2010 vom 14. März 2011 E.3.3.1 CREDIT SUISSE/UniCredit Suisse Bank [fig.]).</w:t>
      </w:r>
    </w:p>
    <w:p>
      <w:r>
        <w:rPr>
          <w:b/>
        </w:rPr>
        <w:t>E. 5</w:t>
      </w:r>
    </w:p>
    <w:p>
      <w:r>
        <w:t>In einem weiteren Schritt ist zu überprüfen, ob die beanspruchten Waren und Dienstleistungen der sich gegenüberstehenden Marken aus Sicht der Verkehrskreise identisch oder zumindest gleichartig sind.</w:t>
      </w:r>
    </w:p>
    <w:p>
      <w:r>
        <w:rPr>
          <w:b/>
        </w:rPr>
        <w:t>E. 5.1</w:t>
      </w:r>
    </w:p>
    <w:p>
      <w:r>
        <w:t>Als markenrechtlich identisch gelten Waren, wenn die von der angefochtenen Marke beanspruchte Ware unter den von der älteren Marke geschützten Oberbegriff fällt (Joller, a.a.O., Art. 3 N. 242). Ist die Ware nicht unter den von der älteren Marke beanspruchten Begriff subsumierbar, ist zu prüfen, ob zumindest eine Gleichartigkeit vorliegt. Dabei spricht für deren Vorliegen, wenn sich die Waren unter den gleichen Oberbegriff der Nizza-Klassifikation subsumieren lassen (Joller, a.a.O., Art. 3 N. 246).</w:t>
      </w:r>
    </w:p>
    <w:p>
      <w:r>
        <w:rPr>
          <w:b/>
        </w:rPr>
        <w:t>E. 5.2</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Bundesverwaltungsgerichts B-2269/2011 vom 9. März 2012 E. 6.1 [fig.]/BoneWelding [fig.], B-6665/2010 vom 21. Juli 2011 E. 5.1 HOME BOX OFFICE/Box Office, B-4159/2009 vom 25. November 2009 E. 3.1 EFE [fig.] / EVE, mit Verweis u.a. auf David, a.a.O., Art. 3 N. 35). Für die Warengleichartigkeit sprechen unter anderem gleiche Herstellungsstätten, gleiches fabrikationsspezifisches Know-how, ähnliche Vertriebskanäle, ähnliche Abnehmerkreise oder das Vorliegen eines ähnlichen Verwendungszweckes (Urteil des Bundesverwaltungsgerichts B-2269/2011 vom 9. März 2012 E. 6.1 [fig.]/BoneWelding [fig.] mit weiteren Hinweisen)</w:t>
      </w:r>
    </w:p>
    <w:p>
      <w:r>
        <w:rPr>
          <w:b/>
        </w:rPr>
        <w:t>E. 5.3</w:t>
      </w:r>
    </w:p>
    <w:p>
      <w:r>
        <w:t>Gleichartigkeit kann auch zwischen Waren und Dienstleistungen bestehen (Urteil des Bundesverwaltungsgerichts B-2269/2011 vom 9. März 2012 E. 6.5.1 [fig.]/BoneWelding [fig.]; Marbach, SIWR III/1, N. 853 ff.; Joller, a.a.O., Art. 3 N. 299). Bei deren Bejahung ist indes eine gewisse Zurückhaltung angezeigt, denn viele Dienstleistungen sind im Zusammenhang mit vielen Warenkategorien praktisch, was umgekehrt ebenso gilt. Daher kann allein die funktionelle Verwendungsmöglichkeit keine Gleichartigkeit begründen. Vielmehr müssen Ware und Dienstleistung ein sinnvolles Leistungspaket abgeben. Zu bejahen ist die Gleichartigkeit daher insbesondere dann, wenn Ware und Dienstleistung eine einheitliche Wertschöpfungskette bilden. Starke Indizien für die Gleichartigkeit sind daher insbesondere die Konstellationen "service après vente", "Zweitverwertung des eigenen Angebotes" und "Dienstleistungen zur Produkteimplementierung" (Marbach, SIWR III/1, N. 854 ff.). In diesen Fällen besteht zwischen Ware und Dienstleistung eine vom Verkehr erwartete Koppelbeziehung respektive das eine Angebot wird als marktlogische Folge des anderen wahrgenommen (Marbach, SIWR III/1, N. 858; Joller, a.a.O., Art. 3 N. 299). Weiter ist auch dann auf Gleichartigkeit zu schliessen, wenn zwischen Waren und Dienstleistungen eine marktübliche Verknüpfung besteht, d.h. wenn der Verkehr gewohnt ist, dass beide Produkte typischerweise vom gleichen Unternehmen als einheitliches Leistungspaket angeboten werden (Marbach, SIWR III/1, N. 859, mit zahlreichen Hinweisen auf die Rechtsprechung).</w:t>
      </w:r>
    </w:p>
    <w:p>
      <w:r>
        <w:rPr>
          <w:b/>
        </w:rPr>
        <w:t>E. 5.4</w:t>
      </w:r>
    </w:p>
    <w:p>
      <w:r>
        <w:t>Beide Widerspruchsmarken sind in Klasse 9 u.a. für die Waren "supports d'enregistrement magnétiques" hinterlegt, welche identisch bzw. hochgradig gleichartig sind mit den Waren "elektronische, magnetische und optische Datenträger" für welche die angefochtene Marke in Klasse 9 hinterlegt ist. Weiter sind die Widerspruchsmarke 1 in Klasse 9 auch für die Waren "logiciels d'ordinateur" und die Widerspruchsmarke 2 für "logiciels informatiques" hinterlegt, welche mit den von der angefochtenen Marke beanspruchten Waren "Computerprogramme, Software" identisch sind. Damit kann bezüglich den in Klasse 9 vom Widerspruch betroffenen Waren wenn nicht auf Identität so doch auch hochgradige Gleichartigkeit mit den von den Widerspruchsmarken beanspruchten Waren geschlossen werden.</w:t>
      </w:r>
    </w:p>
    <w:p>
      <w:r>
        <w:rPr>
          <w:b/>
        </w:rPr>
        <w:t>E. 5.5.1</w:t>
      </w:r>
    </w:p>
    <w:p>
      <w:r>
        <w:t>Von der Beschwerde betroffen sind die Dienstleistungen "Zusammenstellen, Systematisieren und Verwalten von Daten mittels Computer, insbesondere in Computerdatenbanken" in Klasse 35. Die Vorinstanz verneinte dabei die Gleichartigkeit zwischen diesen Dienstleistungen und den von der Widersprechenden in Klasse 9 jeweils beanspruchten Waren (vgl. angefochtene Verfügung; Teil III/C, Ziff. 6), was von der Beschwerdeführerin 1 gerügt wurde (vgl. Beschwerde 1). Die Beschwerdegegnerin 1 bestreitet eine Gleichartigkeit (vgl. Beschwerdeantwort 1, Ziff. 6 mit Verweis auf Beschwerde 2, Ziff. 22 ff.).</w:t>
      </w:r>
    </w:p>
    <w:p>
      <w:r>
        <w:rPr>
          <w:b/>
        </w:rPr>
        <w:t>E. 5.5.2</w:t>
      </w:r>
    </w:p>
    <w:p>
      <w:r>
        <w:t>Die von der angefochtenen Marke in Klasse 35 beanspruchten Dienstleistungen sind - wie die Vorinstanz zu Recht feststellt - grundsätzlich kaufmännische Dienstleistungen. Die Datenverwaltung ist per se keine computerspezifische Dienstleistung. Zwar bedingt die gewählte Formulierung, dass diese "mittels Computer" erbracht werden. Daher wendet die Beschwerdeführerin 1 auch ein, dass diese Dienstleistungen ohne einen Computer und entsprechender Software gar nicht erbringbar seien, was ihrer Meinung nach für eine Gleichartigkeit spricht (vgl. Beschwerde 1, Ziff. 7 f.). Doch gerade aus der Tatsache, dass bei der Durchführung dieser Handlungen die beanspruchten Waren verwendet werden, kann nicht auf eine Gleichartigkeit geschlossen werden (vgl. Joller, a.a.O., Art. 3 N. 303). Um eine Gleichartigkeit zwischen Waren und Dienstleistungen zu bejahen, müssen diese als "marktlogische Folgen" des anderen wahrgenommen werden oder zumindest als marktüblich miteinander verknüpft (vgl. Joller, a.a.O., Art. 3 N. 299). Der in diesem Zusammenhang von der Beschwerdeführerin 1 vorgebrachte Entscheid der RKGE vom 25. April 2005 bejahte zwischen den Waren "elektronische Schaltungen, Kommunikationskabel und optische Faserkabel" der Klasse 9 und den Dienstleistungen "Zusammenstellung von Informationen in einer Computerdatenbank; computerisierte Datenverwaltung" der Klasse 35 eine Gleichartigkeit, da die Abnehmer der Waren einen wirtschaftlichen Zusammenhang zu den unter derselben Marke angebotenen Dienstleistungen vermuten würden, zumal Letztere "ausgesprochen computerspezifisch" seien (vgl. Entscheid der RKGE vom 27. April 2005 E. 4 "Global Sources [fig.]/Global Source", in: sic! 2005 S. 580 ff.). Die Beschwerdegegnerin 1 gibt hier zu Recht zu bedenken, dass heutzutage mit "fast allen Aktivitäten der Einsatz von Informationstechnologien verbunden ist" (vgl. Duplik der Beschwerdegegnerin 1, Rz. 13). Es liegt daher tatsächlich in der Natur der Sache, dass eine computerisierte Datenverwaltungsdienstleistung den Einsatz eines Computers und einer Software bedingt. Heutzutage kann dem von der Beschwerdeführerin 1 vorgebrachten Präjudiz daher aufgrund der stärkeren Durchdringung mit IT nicht mehr dieselbe Bedeutung zukommen. In seiner Natur bleibt die vorliegend beanspruchte Dienstleistung eine Datenverwaltungsdienstleistung und keine IT-Dienstleistung, so dass die Abnehmer darin keine marktlogische Folge erkennen. Im Einklang mit der Vorinstanz ist eine Gleichartigkeit zwischen den von den Widerspruchsmarken beanspruchten Waren der Klasse 9 und den von der angefochtenen Marke beanspruchten Dienstleistungen "Zusammenstellen, Systematisieren und Verwalten von Daten mittels Computer, insbesondere in Computerdatenbanken" in Klasse 35 zu verneinen.</w:t>
      </w:r>
    </w:p>
    <w:p>
      <w:r>
        <w:rPr>
          <w:b/>
        </w:rPr>
        <w:t>E. 5.6</w:t>
      </w:r>
    </w:p>
    <w:p>
      <w:r>
        <w:t>Die angefochtene Marke ist in Klasse 38 für die Dienstleistungen "Bereitstellen des Zugriffs auf Computernetzwerke, Internetplattformen, Datenbanken und elektronische Publikationen" hinterlegt. Die Beschwerdegegnerin 1 macht die Gleichartigkeit zu den von ihr in Klasse 9 beanspruchten Waren "logiciels d'ordinateur" bzw. "logiciels informatiques" geltend, was von der Vorinstanz auch bejaht wurde (vgl. angefochtene Verfügung, Teil III/C, Ziff. 5). Diese Einschätzung wird von der Beschwerdeführerin 2 gerügt (vgl. Beschwerde 2, Ziff. 22 ff.). Die in Klasse 38 beanspruchte Dienstleistung gilt grundsätzlich als eine "Service Provider"-Dienstleistung (vgl. Einteilung der Dienstleistung gemäss Basisnummer 380040 in 10. Auflage der Nizzaer Klassifikation, abrufbar unter: http://www.wipo.int &gt; Trademarks &gt; International Classifications &gt; Nice &gt; NCL [10-2013] &gt; Search, zuletzt besucht am 10. Januar 2012). Die Dienstleistung des Service Providers unterscheidet sich je nach Angebot (vgl. Definition des Begriffs 'service provider' in: ITWissen Online Lexikon für Informationstechnologie, abrufbar unter: http://www.itwissen.info/definition/lexikon/service-provider-Dienstanbieter-SP.html). Gemäss dem freiwilligen internationalen Standard ITIL 2011 (Glossary auf Deutsch und Englisch abrufbar unter: http://www.itil-officialsite.com/InternationalActivities/ITILGlossaries_2.aspx) werden Service Provider-Dienste in drei Typen unterteilt: Type I (Ein interner Service Provider, der Teil eines Geschäftsbereichs ist), Type II (Ein interner Service Provider, der gemeinsam genutzte [Shared] IT Services für mehr als einen Geschäftsbereich bereitstellt) und Type III (Ein Service Provider, der IT Services für externe Kunden bereitstellt, z.B. ein Application Service Provider). Nicht in allen Bereichen spielt Software eine Rolle (vgl. Definition 'service provider' in: ITWissen Online Lexikon, a.a.O.) und - wie die Beschwerdegegnerin 1 zu Recht bemerkt (vgl. Beschwerde 2, Ziff. 22) - ein Service Provider-Dienst kann, wie von ihr angeboten, auch einzig darin bestehen, intern einen technischen Zugriff auf die Datenbank bzw. ein Netzwerk anzubieten wofür aber keine Software im eigentlichen Sinne benötigt wird (vgl. Beschwerde 2, Ziff. 22). Fest steht aber, dass "Service Provider"-Dienste u.a. auch die sog. "Application Service Provider" beinhalten, welche komplette Anwendungslösungen (und daher auch Software) anbieten. Ein Service Provider kann alle drei Typen anbieten, weshalb zwischen der Ware "Software" und dem technisch vage formulierten Dienstleistungsbegriff "Bereitstellen des Zugriffs auf Computernetzwerke, Internetplattformen, Datenbanken und elektronische Publikationen" für die Abnehmer ein funktionaler Zusammenhang erkennbar ist. Sie haben demnach Grund zur Annahme, dass Ware und Dienstleistung vom selben Anbieter stammen (vgl. in diesem Sinn auch den Entscheid der RKGE vom 9. April 2003 YOUNET/Y YOUNET [fig.], in: sic! 2003 S. 714, wobei die beanspruchten Waren und Dienstleistung mit den vorliegenden nur vergleichbar sind).</w:t>
      </w:r>
    </w:p>
    <w:p>
      <w:r>
        <w:rPr>
          <w:b/>
        </w:rPr>
        <w:t>E. 5.7</w:t>
      </w:r>
    </w:p>
    <w:p>
      <w:r>
        <w:t>Auch zwischen den von den Widerspruchsmarken beanspruchten Waren der Klasse 9, insbesondere "logiciels d'ordinateur" bzw. "logiciels informatiques", "ordinateurs" und "microprocesseurs", und den mit der angefochtenen Marke beanspruchten Dienstleistungen der Klasse 42, "Entwurf und Entwicklung von Computerhardware; Entwurf, Entwicklung und Aktualisierung von Computersoftware; Erstellen von Datenbanksoftware", ist eine Gleichartigkeit zu bejahen, da die Abnehmer Ware und Dienstleistung als wirtschaftlich sinnvolles Leistungspaket wahrnehmen bzw. das eine Angebot als die marktlogische Folge des anderen betrachten können (vgl. Urteil des Bundesverwaltungsgerichts B-758/2007 vom 26. Juli 2007 E. 5.2 "G-mode/GMODE"). Ob sich auch zwischen den von der angefochtenen Marke in Klasse 42 beanspruchten "Dienstleistungen im Bereich der Wissenschaft und Technologie sowie diesbezügliche Forschungs- und Entwicklungsdienstleistungen" Berührungspunkte zu den in Klasse 9 jeweils beanspruchten Waren ergeben kann angesichts der nachfolgenden Feststellungen (vgl. E. 7.4.4 ff. hiernach) offen gelassen werden.</w:t>
      </w:r>
    </w:p>
    <w:p>
      <w:r>
        <w:rPr>
          <w:b/>
        </w:rPr>
        <w:t>E. 6</w:t>
      </w:r>
    </w:p>
    <w:p>
      <w:r>
        <w:t>Angesichts der Gleichartigkeit zwischen den in Klasse 9, 38 und 42 beanspruchten Waren und Dienstleistungen gilt es nun zu prüfen, ob vorliegend eine Zeichenähnlichkeit besteht. Wird eine solche bejaht, so ist zu klären, welche Kennzeichnungskraft den Widerspruchsmarken zukommt und damit wie ähnlich die Marken sein dürfen, die jene neben sich zu dulden haben. 6.1.1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 6.1.2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Bundesverwaltungsgerichts B-5390/2009 vom 17. August 2010 E. 6 ORPHAN EUROPE [fig.]/ ORPHAN INTERNATIONAL). 6.1.3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in: sic! 2006 S. 413). Diese Kriterien sind im Folgen­den bezogen auf die im Streit stehen­den Marken zu unter­suchen.</w:t>
      </w:r>
    </w:p>
    <w:p>
      <w:r>
        <w:rPr>
          <w:b/>
        </w:rPr>
        <w:t>E. 6.2</w:t>
      </w:r>
    </w:p>
    <w:p>
      <w:r>
        <w:t>Im vorliegenden Fall stehen sich die Zeichen "INTEL INSIDE" bzw. "intel inside (fig.)" und "GALDAT INSIDE" gegenüber. Während es sich bei der angefochtenen Marke um eine reine Wortmarke handelt, weist die Widerspruchsmarke 1 auch ein figuratives Element auf, nämlich eine ellipsenförmige Umrundung des Wortes "intel". Beide Widerspruchsmarken stimmen allerdings in den Wortelementen überein, wobei das Wort "inside" in der Wort-/Bildmarke versetzt angeordnet ist. Die grafische Gestaltung der Wort-/Bildmarke "intel inside (fig.)" ist schlicht und prägt den Gesamteindruck nicht in massgebender Weise. Es sind daher - im Einklang mit den Parteien - vorwiegend die Wortelemente miteinander zu vergleichen (vgl. angefochtene Verfügung, Teil III/D, Ziff. 5; Beschwerde 2, Rz. 28; Beschwerdeantwort 2, Teil B).</w:t>
      </w:r>
    </w:p>
    <w:p>
      <w:r>
        <w:rPr>
          <w:b/>
        </w:rPr>
        <w:t>E. 6.3</w:t>
      </w:r>
    </w:p>
    <w:p>
      <w:r>
        <w:t>Die Widerspruchsmarken und die angefochtene Marke bestehen in ihren Wortelementen aus viersilbigen Wortkombinationen, bei welchen die Betonung auf der ersten Silbe liegt. Die Vokalfolge der Widerspruchsmarken lautet "I-E I-I-E", jene der angefochtenen Marke "A-A I-I-E". Dagegen stehen sich bei der Konsonantenfolge "N-T-L N-S-D" und "G-L-D-T N-S-D" gegenüber. Die Marken stimmen also einzig im Wort "INSIDE" überein, was zu einer klanglichen Übereinstimmung im Endteil bezüglich Vokal- und Konsonantenfolge hat. Die Anfangswörter der Marken haben hingegen ausser der Anzahl Vokale und Silben nichts gemeinsam.</w:t>
      </w:r>
    </w:p>
    <w:p>
      <w:r>
        <w:rPr>
          <w:b/>
        </w:rPr>
        <w:t>E. 6.4</w:t>
      </w:r>
    </w:p>
    <w:p>
      <w:r>
        <w:t>Weiter weisen die Marken fast die gleiche Buchstabenanzahl auf, nämlich 11 (Widerspruchsmarken) bzw. 12 (angefochtene Marke). Identisch sind die Endbegriffe und der Zeichenaufbau, nämlich "{Begriff} INSIDE". Trotz erkennbarer Unterschiede bestehen im Schriftbild auch Gemeinsamkeiten.</w:t>
      </w:r>
    </w:p>
    <w:p>
      <w:r>
        <w:rPr>
          <w:b/>
        </w:rPr>
        <w:t>E. 6.5.1</w:t>
      </w:r>
    </w:p>
    <w:p>
      <w:r>
        <w:t>Das allen Marken gemeinsame Zeichenelement "inside" gehört zum englischen Grundwortschatz und wird auf Deutsch mit "hinein; in; innerhalb; innen; drinnen; im Inneren" bzw. "das Innere" übersetzt (Gernot Häublein, Thematischer Grund- und Aufbauwortschatz Englisch, 1. Aufl., Stuttgart 1987, S. 277; Eintrag zu "inside" in: Pons Wörterbücher, Deutsch-Englisch, abrufbar unter http://www.pons.de). Als Begriff des englischen Grundwortschatzes, wird das Zeichenelement sowohl von den Fachkreisen als auch von den Durchschnittsabnehmern ohne Gedankenaufwand im dargelegten Sinn erkannt (Urteile des Bundesverwaltungsgerichts B-8028/2010 vom 2. Mai 2012 E. 6.3.1.1 VIEW/SWISSVIEW [fig.], B-3377/2010 vom 27.07.2010 E. 5.2 RADIANT APRICOT, B-1364/2008 vom 24. Juni 2009 E. 5.3 On the Beach). Die angefochtene Marke übernimmt dieses Element der Widerspruchsmarken.</w:t>
      </w:r>
    </w:p>
    <w:p>
      <w:r>
        <w:rPr>
          <w:b/>
        </w:rPr>
        <w:t>E. 6.5.2</w:t>
      </w:r>
    </w:p>
    <w:p>
      <w:r>
        <w:t>Als weiteres Wortelement führen die beiden Widerspruchsmarken den Begriff "INTEL" auf. Dieser kann als Hinweis auf "intelligence" verstanden werden, doch ist dieser Sinngehalt nicht ohne Gedankenaufwand erkennbar. Der Begriff wird vom Abnehmer daher grundsätzlich als Fantasiebegriff wahrgenommen.</w:t>
      </w:r>
    </w:p>
    <w:p>
      <w:r>
        <w:rPr>
          <w:b/>
        </w:rPr>
        <w:t>E. 6.5.3</w:t>
      </w:r>
    </w:p>
    <w:p>
      <w:r>
        <w:t>Auch das in der angefochtenen Marke enthaltene "GALDAT" ist für den Abnehmer ohne sofort erkennbare Bedeutung, selbst wenn er die Silbe "DAT" als einen Hinweis auf "Daten" verstehen sollte. Woher sich das Zeichen herleiten lässt, ist - wie bei den Widerspruchsmarken - insofern nicht von Belang, als dass der neugeschaffene Begriff für den Abnehmer erst mit Gedankenaufwand (und Vorkenntnissen) einen bestimmbaren Sinn hat. Daher wird auch dieses Zeichenelement als unbestimmter Fantasiebegriff wahrgenommen.</w:t>
      </w:r>
    </w:p>
    <w:p>
      <w:r>
        <w:rPr>
          <w:b/>
        </w:rPr>
        <w:t>E. 6.5.4</w:t>
      </w:r>
    </w:p>
    <w:p>
      <w:r>
        <w:t>Aus dem Gesagten kann geschlossen werden, dass eine tatsächliche Übereinstimmung im Sinngehalt der Marken nur bezüglich dem Element "INSIDE" vorliegt. Eine sinngehaltliche Nähe besteht einzig in diesem Element und der Tatsache, dass der jeweilige erste Zeichenbestandteil unbestimmt ist.</w:t>
      </w:r>
    </w:p>
    <w:p>
      <w:r>
        <w:rPr>
          <w:b/>
        </w:rPr>
        <w:t>E. 6.6</w:t>
      </w:r>
    </w:p>
    <w:p>
      <w:r>
        <w:t>Was die Wortelemente der betroffenen Marken betrifft, kann somit festgehalten werden, dass sich diese bezüglich des ersten Begriffes unterscheiden. Unbestrittenermassen besteht zwischen diesen Einzelelementen keine Ähnlichkeit. Daraus kann aber entgegen der Ansicht der Beschwerdeführerin 2 nicht geschlossen werden, dass damit eine Zeichenähnlichkeit vollkommen wegfällt, denn die Zeichenähnlichkeit bestimmt sich aus dem Vergleich der gesamten Zeichen. Eine mosaikartige Betrachtungsweise der Markenelemente ist unzulässig (David, a.a.O., Art. 3 N. 11). Demzufolge ist festzustellen, dass die angefochtene Marke den Zeichenaufbau und das zweite Wortelement der Widerspruchsmarken vollständig übernimmt, woraus Ähnlichkeiten im Klang und im Schriftbild entstehen. Die festgestellten Unterschiede vermögen nichts an der Zeichenähnlichkeit zu ändern. Damit hat die Vorinstanz eine Zeichenähnlichkeit zu Recht bejaht.</w:t>
      </w:r>
    </w:p>
    <w:p>
      <w:r>
        <w:rPr>
          <w:b/>
        </w:rPr>
        <w:t>E. 7</w:t>
      </w:r>
    </w:p>
    <w:p>
      <w:r>
        <w:t>Abschliessend ist in einer Gesamtbetrachtung und unter Berücksichtigung der Kennzeichnungskraft beider Marken sowie des Aufmerksamkeitsgrades, den die massgeblichen Verkehrskreise bei der Nachfrage der beanspruchten Waren und Dienstleistungen walten lassen, über die Verwechslungsgefahr zu urteilen.</w:t>
      </w:r>
    </w:p>
    <w:p>
      <w:r>
        <w:rPr>
          <w:b/>
        </w:rPr>
        <w:t>E. 7.1</w:t>
      </w:r>
    </w:p>
    <w:p>
      <w:r>
        <w:t>Vorliegend kam die Vorinstanz zum Schluss, bei den Widerspruchsmarken handle es sich, soweit "Prozessoren und Chipssätze" in Frage stehen, um bekannte Marken; diese Bekanntheit sei zumindest im Zusammenhang mit "Prozessoren und Chipssätzen" institutsnotorisch (angefochtene Verfügung, S. 9). Weiter schliesst sie aus einem Eintrag in der Online-Enzyklopädie Wikipedia, dass den Abnehmern auch der Markenaufbau bekannt sei, so dass diese aus der Kombination "{Begriff} INSIDE" sofort auf eine betriebliche Gemeinsamkeit schliessen würden. Dieser Auffassung schliesst sich die Beschwerdegegnerin 2 an und fügt hinzu, ihre Widerspruchsmarken "INTEL INSIDE" seien genauso wie der Stamm "Intel" plus "inside" weltweit bekannt.</w:t>
      </w:r>
    </w:p>
    <w:p>
      <w:r>
        <w:rPr>
          <w:b/>
        </w:rPr>
        <w:t>E. 7.2</w:t>
      </w:r>
    </w:p>
    <w:p>
      <w:r>
        <w:t>Die Beschwerdeführerin 2 lehnt diese Auffassung ab. Sie ist der Meinung, dass "inside" aufgrund seines beschreibenden Sinngehalts ein schwaches Zeichenelement sei. Da die Marken einzig im Begriff "inside" und damit in einem schwachen Markenelement übereinstimmen würden, reiche die Verwendung des nicht verwechselbaren Begriffs "GALDAT" aus, um eine Verwechslungsgefahr auszuschliessen. Zur gesteigerten Kennzeichnungskraft der Marken "INTEL INSIDE" hält sie fest, dass diese vorliegend einzig im Zusammenhang mit den Waren der Klasse 9 bejaht werden könne und sich die jüngere Marke selbst dann noch dank dem Element "GALDAT" hinreichend von den Widerspruchsmarken unterscheiden würde.</w:t>
      </w:r>
    </w:p>
    <w:p>
      <w:r>
        <w:rPr>
          <w:b/>
        </w:rPr>
        <w:t>E. 7.3</w:t>
      </w:r>
    </w:p>
    <w:p>
      <w:r>
        <w:t>Bei der Beurteilung der Kennzeichnungskraft eines Zeichens ist zunächst festzuhalten, dass sich diese nach der Unterscheidungskraft der Marke bzw. ihrer Bestandteile bestimmt (Joller, a.a.O., Art. 3 N. 81). Diese wiederum ist dadurch zu bestimmen, dass das Zeichen in Relation mit den beanspruchten Waren und Dienstleistungen gesetzt wird (Joller, a.a.O., Art. 3 N. 82). Daraus ergibt sich, dass aus der Tatsache allein, dass einem Zeichen eine Bedeutung zukommt, nicht automatisch auf dessen Schwäche geschlossen werden kann. Geschwächt wird ein Zeichen erst, wenn dieser Sinngehalt im Zusammenhang mit den Waren und Dienstleistungen beschreibend ist.</w:t>
      </w:r>
    </w:p>
    <w:p>
      <w:r>
        <w:rPr>
          <w:b/>
        </w:rPr>
        <w:t>E. 7.3.1</w:t>
      </w:r>
    </w:p>
    <w:p>
      <w:r>
        <w:t>Die Vorinstanz hat in den Widerspruchsmarken bzw. dem Begriff "inside" im Zusammenhang mit den beanspruchten Waren keine beschreibende Bedeutung erkannt (Ziffer D.4 der angefochtenen Verfügung). Dessen Kennzeichnungskraft erachtet sie als normal. Dieser Einschätzung schliesst sich auch das Bundesverwaltungsgericht an: Ein Sinngehalt wie "innen; drinnen; drin" ist verbunden mit dem unbestimmten Begriff "INTEL" im Zusammenhang mit den in Klasse 9 beanspruchten Waren nicht beschreibend. Ohne Präzisierung mittels eines beschreibenden Zeichenelements ist der Begriff "inside" im Zusammenhang mit den beanspruchten Waren vage. Er deutet einzig darauf hin, dass etwas in den Waren ist: im Falle der Widerspruchsmarken Intel. Die Widerspruchsmarken sind als originär unterscheidungskräftig zu bezeichnen, weshalb ihnen grundsätzlich eine normale Kennzeichnungskraft und ein entsprechender Schutzumfang zuzusprechen sind.</w:t>
      </w:r>
    </w:p>
    <w:p>
      <w:r>
        <w:rPr>
          <w:b/>
        </w:rPr>
        <w:t>E. 7.4</w:t>
      </w:r>
    </w:p>
    <w:p>
      <w:r>
        <w:t>Die Beschwerdeführerin 1 macht indessen geltend, dass ihre Widerspruchsmarken eine überragende Verkehrsgeltung geniessen, da sie auf dem Markt eine hohe Bekanntheit erlangt haben. Diese gesteigerte Kennzeichnungskraft ihrer Widerspruchsmarken sei aufgrund deren hohen Bekanntheit auch im Zusammenhang mit den lediglich von der angefochtenen Marke beanspruchten Waren und Dienstleistungen zu bejahen. Die Vorinstanz folgt der Beschwerdeführerin 1 und bejaht eine notorisch erhöhte Bekanntheit der Widerspruchsmarken insbesondere im Zusammenhang mit den Waren "Prozessoren; Chipssätze", wobei sie die gesteigerte Kennzeichnungskraft der Widerspruchsmarken im Ergebnis auf alle von der Beschwerdegegnerin 1 beanspruchten Waren und Dienstleistungen ausgedehnt hat (vgl. Titel D, Ziff. 5 der angefochtenen Verfügung). Die Beschwerdeführerin 2 ihrerseits bestreitet hingegen einen gesteigerten Gebrauch der Widerspruchsmarken für mehr als nur "Prozessoren; Chipssätze".</w:t>
      </w:r>
    </w:p>
    <w:p>
      <w:r>
        <w:rPr>
          <w:b/>
        </w:rPr>
        <w:t>E. 7.4.1</w:t>
      </w:r>
    </w:p>
    <w:p>
      <w:r>
        <w:t>Macht ein Markeninhaber die gesteigerte Kennzeichnungskraft geltend, hat er hierzu grundsätzlich entsprechende Belege einzureichen (Urteil des Bundesverwaltungsgerichts vom 8. Februar 2012 E. 6.4 "5th Avenue" [fig.]/"AVENUE" [fig.]). Um eine erhöhte Verkehrsbekanntheit zu bejahen, müssen die Belege in der Schweiz einen langjährigen Gebrauch der Marke und intensive Werbung ausweisen (Urteil des Bundesverwaltungsgerichts vom 8. Februar 2012 E. 6.4 mit Hinweisen "5th Avenue" [fig.]/"AVENUE" [fig.]; Joller, a.a.O., Art. 3 N. 100).</w:t>
      </w:r>
    </w:p>
    <w:p>
      <w:r>
        <w:rPr>
          <w:b/>
        </w:rPr>
        <w:t>E. 7.4.2</w:t>
      </w:r>
    </w:p>
    <w:p>
      <w:r>
        <w:t>Im Einklang mit allen Verfahrensbeteiligten ist festzuhalten, dass Beschwerdeführerin 1 eine intensive Werbepräsenz der Widerspruchsmarke 1, d.h. der Wort-/Bildmarke, im Zusammenhang mit "Prozessoren" und "Chipssätzen" belegt (vgl. Beilagen 11-26 der Widerspruchsreplik). Obschon diese Belege einzig das Jahr 2010 abdecken und die Wortmarke nicht aufzeigen, ist der Vorinstanz zuzustimmen, wenn diese die erhöhte Verkehrsgeltung beider Widerspruchsmarken im Zusammenhang mit den Waren "Prozessoren" und "Chipssätze" als notorisch gegeben erachtet (vgl. Titel D, Ziff. 5 der angefochtenen Verfügung). Denn einerseits sind die Widerspruchsmarken auf sehr vielen PC bzw. Laptops diverser Marken aufgeklebt, so dass deren Bekanntheit, und dabei insbesondere jene des Markenbestandteils "Intel", unbestritten ist. Weiter ist die grafische Gestaltung der Wort-/Bildmarke banal und verändert die Kennzeichnungskraft der Wortkombination nicht (vgl. e contrario Urteil des Bundesverwaltungsgerichts vom 8. Februar 2012 E. 6.5.1 mit Hinweisen "5th Avenue" [fig.]/"AVENUE" [fig.]), sodass v.a. die Wortelemente im Vordergrund stehen. Insofern ist die Bejahung einer gesteigerten Kennzeichnungskraft der Widerspruchsmarken im Zusammenhang mit den Waren "Prozessoren" und "Chipssätze" durch die Vorinstanz schlüssig.</w:t>
      </w:r>
    </w:p>
    <w:p>
      <w:r>
        <w:rPr>
          <w:b/>
        </w:rPr>
        <w:t>E. 7.4.3</w:t>
      </w:r>
    </w:p>
    <w:p>
      <w:r>
        <w:t>Es stellt sich aber im Einklang mit der Beschwerdeführerin 2 tatsächlich die Frage, ob die gesteigerte Kennzeichnungskraft - wie von der Beschwerdeführerin 1 verlangt - auch auf die weiteren in Klasse 9 beanspruchten Waren sowie die von den Widerspruchsmarken nicht beanspruchten Dienstleistungen der Klassen 38 und 42 übertragen werden kann. Im Ergebnis bejaht die Vorinstanz eine notorisch erhöhte Verkehrsgeltung der Widerspruchsmarken gegenüber allen von der angefochtenen Marke beanspruchten Waren und Dienstleistungen bei denen sie die Gleichartigkeit bejaht hat (vgl. Titel D, Ziff. 5 der angefochtenen Verfügung).</w:t>
      </w:r>
    </w:p>
    <w:p>
      <w:r>
        <w:rPr>
          <w:b/>
        </w:rPr>
        <w:t>E. 7.4.4</w:t>
      </w:r>
    </w:p>
    <w:p>
      <w:r>
        <w:t>Dieser Einschätzung kann sich das Gericht nicht anschliessen, denn selbst innerhalb des Gleichartigkeitsbereichs der sich gegenüberstehenden Waren und Dienstleistungen führt die Bejahung der erhöhten Verkehrsgeltung bezüglich der einen Waren oder Dienstleistungen nicht automatisch zu einem Analogieschluss bezüglich der weiteren beanspruchten Waren und Dienstleistungen (Urteil des Bundesverwaltungsgerichts B-1085/2008 vom 13. November 2009 E. 7 "RED BULL/Stierbräu" und "BULL/Stierbräu"; Willi, a.a.O., Art. 3, N. 130). Selbst wenn den Widerspruchsmarken also eine Bekanntheit zugesprochen wird, bedeutet dies nicht, dass sie im Widerspruchsverfahren einen erhöhten Schutz im Sinne einer berühmten Marke beanspruchen können. Der Schutz der berühmten Marke im Sinne von Art. 15 MSchG findet im Widerspruchsverfahren keine Beachtung (Florent Thouvenin, in: Michael G. Noth/Gregor Bühler/Florent Thouvenin [Hrsg.], Markenschutzgesetz [MSchG], Bern 2009, Art. 15 N. 68). Entsprechend ist eine Ausdehnung der erhöhten Verkehrsgeltung der Widerspruchsmarken - wenn überhaupt - nur gegenüber Waren und Dienstleistungen zu bejahen, für welche eine enge Gleichartigkeit besteht. In casu sind dies die Waren "elektronische, magnetische und optische Datenträger" (Klasse 9) und die Dienstleistungen "Entwurf und Entwicklung von Computerhardware" (Klasse 42), da in diesen Waren Chips oder Prozessoren enthalten sein können und die Dienstleistungen u.a. die Entwicklungen von Chips und Prozessoren zum Inhalt haben. Die Bejahung des intensiven Gebrauchs- und Werbeaufwands (vgl. E. 7.4.1 und 7.4.2 hiervor) bezüglich der Waren "Prozessoren; Chipssätze" kann damit einzig auf deren Herstellung bzw. Waren, welche sie enthalten, übertragen werden. In der Folge muss eine derart enge Gleichartigkeit im Zusammenhang mit den in Klasse 9 beanspruchten Waren "Computerprogramme, Software" sowie deren Pendants in Klasse 42, nämlich "Entwurf, Entwicklung und Aktualisierung von Computersoftware; Erstellen von Datenbanksoftware; Dienstleistungen im Bereich der Wissenschaft und Technologie sowie diesbezügliche Forschungs- und Entwicklungsdienstleistungen", verneint werden. Wohl besteht zwischen Software und Prozessoren eine Verbindung, doch ist die nicht derart eng wie bei den vorerwähnten Waren und Dienstleistungen. Ausserdem wurden vorliegend diesbezüglich keine Gebrauchs- oder Werbebelege eingereicht, weshalb eine Ausweitung des Schutzumfangs für jene Waren und Dienstleistung einer im Widerspruchsverfahren verbotenen Erweiterung im Sinne einer berühmten Marke zukäme.</w:t>
      </w:r>
    </w:p>
    <w:p>
      <w:r>
        <w:rPr>
          <w:b/>
        </w:rPr>
        <w:t>E. 7.4.5</w:t>
      </w:r>
    </w:p>
    <w:p>
      <w:r>
        <w:t>In einem Zwischenschritt kann demnach festgehalten werden, dass eine erhöhte Verkehrsgeltung der Widerspruchsmarken einzig gegenüber den von der angefochtenen Marke in Klasse 9 beanspruchten Waren sowie den in Klasse 42 beanspruchten bejaht werden kann, so dass der Schutzumfang der Widerspruchsmarken nur in deren Zusammenhang erhöht ist. Gegenüber den restlichen von der angefochtenen Marke beanspruchten Dienstleistungen können die Widerspruchsmarken eine normale Kennzeichnungskraft und einen entsprechenden Schutzumfang geltend machen (vgl. E. 7.3.1 hiervor).</w:t>
      </w:r>
    </w:p>
    <w:p>
      <w:r>
        <w:rPr>
          <w:b/>
        </w:rPr>
        <w:t>E. 7.5</w:t>
      </w:r>
    </w:p>
    <w:p>
      <w:r>
        <w:t>Im Sinne einer gesamthaften Würdigung kann nach dem Gesagten festgestellt werden, dass in Bezug auf die von der angefochtenen Marke beanspruchten Waren "elektronische, magnetische und optische Datenträger" in Klasse 9 sowie der in Klasse 42 beanspruchten Dienstleistung "Entwurf und Entwicklung von Computerhardware" aufgrund der engen Gleichartigkeit, der vorhandenen Ähnlichkeiten im Zeichenvergleich sowie des erhöhten Schutzumfanges der Widerspruchsmarken im Zusammenhang mit diesen Waren und Dienstleistungen sich die Anforderungen an den Zeichenabstand erhöhen. Zwar ist davon auszugehen, dass die massgeblichen Abnehmer bei der Betrachtung der Marken im Zusammenhang mit den beanspruchten Waren und Dienstleistungen teils eine erhöhte Aufmerksamkeit walten lassen (vgl. Erwägungen 4.2.1 und 4.2.2 hiervor). Dieses Kriterium und die festgestellten Unterschiede genügen aber aufgrund des erhöhten Schutzumfanges der Widerspruchszeichen nicht, um eine Verwechslungsgefahr bezüglich dieser Waren und Dienstleistungen der Klassen 9 und 42 zu bannen (Urteil des Bundesverwaltungsgerichts B-1009/2010 vom 14. März 2011 E. 6.1 CREDIT SUISSE/UniCredit Suisse Bank [fig.]). Hingegen ist in Bezug auf die restlichen von der angefochtenen Marke beanspruchten Waren der Klasse 9 und Dienstleistungen der Klassen 38 und 42 eine Verwechslungsgefahr auszuschliessen, da die Widerspruchsmarken diesbezüglich über einen normalen Schutzumfang verfügen und die angefochtene Marke mit "GALDAT" ein deutlich unterscheidbares Element enthält, so dass die Abnehmer die Marken aufgrund ihres leicht erhöhten Aufmerksamkeitsgrades nicht verwechseln werden. Auch eine mittelbare Verwechslungsgefahr ist in diesem Fall zu verneinen, da die angefochtene Marke einzig das Element "INSIDE" übernimmt. Dieses Element ist einerseits schwächer als der Fantasiebegriff "INTEL" (vgl. E. 6.5.1 hiervor) und andererseits stellt es nicht das Stammelement der Marke dar. Aus den eingereichten Belegen geht hervor, dass die Markenfamilie sich v.a. auf den Begriff "Intel" stützt (vgl. Beilagen 11-26 der Widerspruchsreplik). Die angefochtene Marke übernimmt gerade dieses Element nicht und enthält mit "Galdat" ein sich hinreichend von besagtem Zeichenbestandteil unterscheidendes Element, so dass die angefochtene Kombination "GALDAT INSIDE" im Zusammenhang mit den Waren "Computerprogramme, Software" in Klasse 9 sowie den in Klasse 38 beanspruchten Dienstleistungen und "Entwurf, Entwicklung und Aktualisierung von Computersoftware; Erstellen von Datenbanksoftware; Dienstleistungen im Bereich der Wissenschaft und Technologie sowie diesbezügliche Forschungs- und Entwicklungsdienstleistungen" der Klasse 42 einen genügenden Zeichenabstand zu den Widerspruchsmarken herstellt (Marbach, SIWR III/1, N. 964). In diesem Zusammenhang sind auch die vorgebrachten Argumente der Beschwerdegegnerin 2 betreffend Wertschätzung der Widerspruchsmarken im IT-Bereich und den angeblichen Nachahmungsabsichten der Widerspruchsgegnerin, weil sie den Zeichenaufbau übernahm, bei der vorliegenden Beurteilung - anders als im auf Art. 15 MSchG gestützten Zivilverfahren - nicht zu berücksichtigen (Urteil des Bundesverwaltungsgerichts B-1085/2008 vom 13. November 2009 E. 7 "RED BULL/Stierbräu" und "BULL/Stierbräu"). Die teils bejahte erhöhte Verkehrsgeltung der Widerspruchsmarken ist nicht auch noch auf den Zeichenaufbau zu übertragen. Entsprechend sagen auch die eingereichten und offenbar erfolgreichen Abmahnungsschreiben der Beschwerdegegnerin 2 nichts über eine Verwechslungsgefahr aus: Sie zeigen lediglich auf, dass die abgemahnten Parteien sich aus dem Gericht nicht bekannten Gründen unterworfen haben (vgl. Beilagen 18 und 19 zur Widerspruchsreplik).</w:t>
      </w:r>
    </w:p>
    <w:p>
      <w:r>
        <w:rPr>
          <w:b/>
        </w:rPr>
        <w:t>E. 7.6</w:t>
      </w:r>
    </w:p>
    <w:p>
      <w:r>
        <w:t>Auch der Verweis der Beschwerdegegnerin 2 auf vier Entscheide in Widerspruchsverfahren vor verschiedenen europäischen Markenämter (Spanien, Deutschland und HABM), welche sie als Indiz für die erhöhte Bekanntheit des Zeichenaufbaus der vorliegenden Marken in der Schweiz anführt (vgl. Beilagen 6-10 zur Widerspruchsreplik), muss unbeachtet bleiben. Massgeblich sind einzig die Verhältnisse in der Schweiz. Ausländischen Eintragungsentscheiden wird grundsätzlich keine Präjudizwirkung zugesprochen (BGE 130 III 113 E. 3.2 "Montessori", BGE 129 III 225 E. 5.5 "Masterpiece I"). Entsprechend sagen diese nichts über den vorliegenden Zeichenvergleich und insbesondere auch nichts über den Gebrauch der Widerspruchsmarken sowie deren Bekanntheit in der Schweiz aus.</w:t>
      </w:r>
    </w:p>
    <w:p>
      <w:r>
        <w:rPr>
          <w:b/>
        </w:rPr>
        <w:t>E. 7.7</w:t>
      </w:r>
    </w:p>
    <w:p>
      <w:r>
        <w:t>Schliesslich kann auch das von der Beschwerdeführerin 2 geltend gemachte Argument, die Gefahr einer Verwechslung könne ausgeschlossen werden, weil im schweizerischen Register weitere Marke eingetragen seien, welche den Begriff "INSIDE" enthielten, nicht gehört werden. Ihrer Meinung nach deutet dies darauf, dass die Widerspruchsmarken deren Existenz geduldet haben und das Element "inside" somit verwässert worden sei. Diesem Einwand kann nicht gefolgt werden, denn die mehrfache Registrierung eines Zeichenelementes führt noch nicht zu einer Verwässerung (Marbach, SIWR III/1, N. 982). Vielmehr muss diese in der Wahrnehmung der Abnehmer nachgewiesen sein (Marbach, SIWR III/1, N. 980 mit Hinweis auf den Entscheid der RKGE vom 16. November 2006 Médecins sans frontières/Homéopathes sans frontières II, in: sic! 2007, S. 533 ff.). Vorliegend fehlt ein solcher Nachweis. Auch ist irrelevant, ob es bisher zu konkreten Verwechslungen zwischen den Widerspruchsmarke und der angefochtenen Marke gekommen ist oder nicht (vgl. BGE 126 III 315 E. 4b Apiella; Joller, a.a.O., Art. 3 N. 38 ff.). Die diesbezüglichen Umstände haben demnach keinen Einfluss auf das Bestehen oder Nichtbestehen einer Verwechslungsgefahr.</w:t>
      </w:r>
    </w:p>
    <w:p>
      <w:r>
        <w:rPr>
          <w:b/>
        </w:rPr>
        <w:t>E. 7.8</w:t>
      </w:r>
    </w:p>
    <w:p>
      <w:r>
        <w:t>Aus den oben dargelegten Gründen ist die Beschwerde der Beschwerdeführerin 1 abzuweisen und jene der Beschwerdeführerin 2 teilweise gutzuheissen. Die Entscheidungen der Vorinstanz sind aufzuheben, soweit sie die Löschung der angefochtenen Marke für mehr als die in Klassen 9 und 42 beanspruchten Waren "elektronische, magnetische und optische Datenträger" und Dienstleistungen "Entwurf und Entwicklung von Computerhardware" vorsehen. Soweit weitergehend sind die Beschwerden abzuweisen.</w:t>
      </w:r>
    </w:p>
    <w:p>
      <w:r>
        <w:rPr>
          <w:b/>
        </w:rPr>
        <w:t>E. 8.1</w:t>
      </w:r>
    </w:p>
    <w:p>
      <w:r>
        <w:t>Bei diesem Ausgang des Verfahrens unterliegt die Beschwerdeführerin 1 in Bezug auf ihre Rechtsbegehren vollständig, wogegen die Beschwerdeführerin 2 mit ihren Anträgen teilweise durchdringt, womit sie mit Blick auf die Verlegung der Kosten in Bezug auf ihre Beschwerde als zu zwei Dritteln obsiegend zu beurteilen ist. Damit obsiegt die Beschwerdeführerin 2 insgesamt zu fünf Sechsteln. Entsprechend sind beide Parteien grundsätzlich in diesem Umfang kosten- und entschädigungspflichtig (Art. 63 Abs. 1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des vereinigten Verfahrens insgesamt auf Fr. 6'500.- festzulegen. Da der Aufwand primär im Rahmen der Beurteilung der Begehren der Beschwer­de­füh­re­rin 2 angefallen ist, rechtfertigt es sich, der Beschwerdeführerin 1 einerseits Kosten von Fr. 2'000.- für die Beurteilung der Beschwerde 1 und andererseits zwei Drittel der Kosten der Beurteilung der Beschwerde 2 von insgesamt Fr. 4'500.-, d.h. Fr. 3'000.- aufzuerlegen. Damit hat die Beschwerdeführerin 1 insgesamt Verfahrenskosten von Fr. 5'000.- und die Beschwerdeführerin 2 solche im Umfang von Fr. 1'500.- zu tragen. Diese Beträge sind mit den geleisteten Vorschüssen von je Fr. 4'000.- zu verrechnen. Die Beschwerdeführerin 1 hat demnach Fr. 1'000.- nachzuzahlen. Der Beschwerdeführerin 2 ist der darüber hinausgehende Betrag von Fr. 2'500.- aus der Gerichtskasse zurückzuerstatten.</w:t>
      </w:r>
    </w:p>
    <w:p>
      <w:r>
        <w:rPr>
          <w:b/>
        </w:rPr>
        <w:t>E. 8.3</w:t>
      </w:r>
    </w:p>
    <w:p>
      <w:r>
        <w:t>Im vorinstanzlichen Verfahren ist die Beschwerdeführerin 2 unter­legen. Aufgrund des Verfahrensausgangs vor Bundesver­wal­tungs­ge­richt hat sie indessen mit Bezug auf die vorinstanzlichen Kosten als zu fünf Sechsteln obsiegend zu gelten, weshalb die Beschwerdeführerin 2 anzuweisen ist, der Beschwerdeführerin 1 einen Sechstel der gemäss Ziffer 3 der angefochtenen Verfügung beim IGE verbleibenden Widerspruchsgebühren von Fr. 1'600.- im Umfang von Fr. 266.65 zu erstatten.</w:t>
      </w:r>
    </w:p>
    <w:p>
      <w:r>
        <w:rPr>
          <w:b/>
        </w:rPr>
        <w:t>E. 8.4</w:t>
      </w:r>
    </w:p>
    <w:p>
      <w:r>
        <w:t>Gemäss Art. 34 MSchG bestimmt die Vorinstanz in welchem Masse die Kosten der obsiegenden Partei von der unterliegenden zu ersetzen sind. Die Vorinstanz hatte der Beschwerdeführerin 1 als der im vor­instanzlichen Verfahren obsiegenden Partei eine Entschä­di­gung in Höhe von Fr. 4'600.- (inkl. Ersatz der Widerspruchsgebühren) zulasten der Beschwerdeführerin 2 zuge­sprochen (Ziffer 4 der angefoch­tenen Verfügung). Angesichts des Ver­fahrens­ausgangs vor dem Bundesverwaltungsgericht ist Ziffer 4 der vorinstanzlichen Verfügung jedoch aufzuheben und der Beschwerdeführerin 2 für das vorinstanzliche Verfahren eine Parteientschädigung von Fr. 2'000.- zuzuerkennen.</w:t>
      </w:r>
    </w:p>
    <w:p>
      <w:r>
        <w:rPr>
          <w:b/>
        </w:rPr>
        <w:t>E. 8.5</w:t>
      </w:r>
    </w:p>
    <w:p>
      <w:r>
        <w:t>Der obsiegenden Partei kann von Amtes wegen oder auf Antrag eine Entschädigung für die ihr erwachsenen notwendigen Kosten zulasten der unterliegenden Partei zugesprochen werden (Art. 64 Abs. 1 VwVG in Verbindung mit Art. 7 Abs. 1 VKGE). Die Parteientschädigung für das Verfahren vor dem Bundesverwaltungsgericht umfasst die Kosten der Vertretung sowie allfällige weitere notwendige Auslagen der Partei (Art. 8 VGKE). Wird - wie vorliegend - keine Kostennote eingereicht, hat das Gericht die Entschädigung aufgrund der Akten festzusetzen (Art. 14 Abs. 2 VGKE). Angesichts des Umstands, dass die Beschwerdeführerin 1 mit ihrer Beschwerde ganz unterliegt, und die Beschwerdeführerin 2 mit ihrer Beschwerde zu zwei Drittel obsiegt, hat die Beschwerdeführerin 1 grundsätzlich fünf Sechstel aller Parteikosten und damit per Saldo die Parteikosten der Beschwerdegegnerin 2 in der Höhe von zwei Dritteln zu tragen. Dabei ist indessen wiederum zu berücksichtigen, dass sich die Argumentation betreffend die Begehren der Beschwerdeführerin 2 als aufwändiger erweist. Angesicht des doppelten Schriftenwechsels zuzüglich verfahrensrechtlicher Korrespondenz erscheint in Anwendung des üblichen Stundensatzes von Fr. 300.- eine Parteientschädigung von Fr. 9'000.- (inkl. MWSt) als angemessen. Demnach hat die Beschwerdeführerin 1 der Beschwerdeführerin 2 eine Parteientschädigung in der Höhe von Fr. 6'000.- (inkl. MWSt) zu entrichten.</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