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B-3631/2011 vom 12. März 2013</w:t>
      </w:r>
    </w:p>
    <w:p>
      <w:r>
        <w:t>Bundesverwaltungsgericht, 2013-03-12, DE</w:t>
      </w:r>
    </w:p>
    <w:p>
      <w:r>
        <w:rPr>
          <w:b/>
        </w:rPr>
        <w:t xml:space="preserve">Quelle: </w:t>
      </w:r>
      <w:r>
        <w:t>https://mcp.opencaselaw.ch/entscheid/bvger_B-3631_2011</w:t>
      </w:r>
    </w:p>
    <w:p>
      <w:r>
        <w:t>FR: TAF B-3631/2011 du 12 mars 2013</w:t>
      </w:r>
    </w:p>
    <w:p>
      <w:r>
        <w:t>IT: TAF B-3631/2011 del 12 marzo 2013</w:t>
      </w:r>
    </w:p>
    <w:p>
      <w:pPr>
        <w:pStyle w:val="Heading2"/>
      </w:pPr>
      <w:r>
        <w:t>Regeste</w:t>
      </w:r>
    </w:p>
    <w:p>
      <w:r>
        <w:t>Verwaltungsmassnahmen</w:t>
      </w:r>
    </w:p>
    <w:p>
      <w:pPr>
        <w:pStyle w:val="Heading2"/>
      </w:pPr>
      <w:r>
        <w:t>Erwägungen</w:t>
      </w:r>
    </w:p>
    <w:p>
      <w:r>
        <w:rPr>
          <w:b/>
        </w:rPr>
        <w:t>E. 1</w:t>
      </w:r>
    </w:p>
    <w:p>
      <w:r>
        <w:t>Der Entscheid der Vorinstanz vom 27. Mai 2011 stellt eine Verfügung im Sinne von Art. 5 des Verwaltungsverfahrensgesetzes vom 20. Dezember 1968 (VwVG, SR 172.021) dar. Gemäss Art. 31 und 33 Bst. d des Verwaltungsgerichtsgesetzes vom 17. Juni 2005 (VGG, SR 173.32) i.V.m. Art. 5 VwVG sowie Art. 166 Abs. 2 des Landwirtschaftsgesetzes vom 29. April 1998 (LwG, SR 910.1) können Verfügungen der Vorinstanz mit Beschwerde beim Bundesverwaltungsgericht angefochten werden. Die Beschwerdeführerin ist als Adressatin der angefochtenen Verfügung durch diese berührt. Sie hat ein schutzwürdiges Interesse an deren Aufhebung oder Änderung und ist daher zur Beschwerdeführung legitimiert (Art. 48 Abs. 1 VwVG). Eingabefrist und -form sind gewahrt (Art. 50 und 52 Abs. 1 VwVG) und der Kostenvorschuss wurde fristgemäss bezahlt (Art. 63 Abs. 4 VwVG). Auch die übrigen Sachurteilsvoraussetzungen sind erfüllt (Art. 47 ff. VwVG). Auf die Beschwerde ist daher einzutreten.</w:t>
      </w:r>
    </w:p>
    <w:p>
      <w:r>
        <w:rPr>
          <w:b/>
        </w:rPr>
        <w:t>E. 2</w:t>
      </w:r>
    </w:p>
    <w:p>
      <w:r>
        <w:t>Der Bundesrat unterstellt Warenpreise, die durch agrarpolitische Massnahmen des Bundes beeinflusst werden, einer Marktbeobachtung auf verschiedenen Stufen, von der Produktion bis zum Verbrauch und regelt die Mitwirkung der Marktteilnehmer (Art. 27 Abs. 1 LwG). Zur Beschaffung der für den Vollzug des Gesetzes und die Wirkungskontrolle unerlässlichen Grundlagen erhebt und registriert der Bund sowohl auf sektoraler als auch auf einzelbetrieblicher Ebene insbesondere Daten zur Beurteilung der wirtschaftlichen Lage der Landwirtschaft und zur Beobachtung der Marktlage (Art. 185 Abs. 1 Bst. b und c LwG). Gestützt auf Art. 27, 177 und 185 Abs. 2 und 3 LwG hat der Bundesrat die Verordnung über die Marktbeobachtung im Landwirtschaftsbereich vom 7. Dezember 1998 (SR 942.31; nachfolgend: Marktbeobachtungsverordnung) erlassen. Das Bundesamt für Landwirtschaft führt eine Marktbeobachtung durch. Die Marktbeobachtungsstelle erfasst periodisch das Preisniveau landwirtschaftlicher Erzeugnisse und deren Verarbeitungsprodukte auf verschiedenen Verarbeitungs- und Handelsstufen (Art. 1 Marktbeobachtungsverordnung). Der Marktbeobachtung unterstehen insbesondere Ackerbauprodukte und deren Verarbeitungserzeugnisse (Art. 2 Abs. 1 Bst. d Marktbeobachtungsverordnung). Die Marktteilnehmer sind verpflichtet, der Marktbeobachtungsstelle nach deren zeitlichen und gegenständlichen Vorgaben die Marktdaten zu liefern (Art. 2a Marktbeobachtungsverordnung).</w:t>
      </w:r>
    </w:p>
    <w:p>
      <w:r>
        <w:rPr>
          <w:b/>
        </w:rPr>
        <w:t>E. 3</w:t>
      </w:r>
    </w:p>
    <w:p>
      <w:r>
        <w:t>Umstritten ist vorliegend einzig die Höhe des auferlegten Betrags, denn die Beschwerdeführerin hat nur die Reduzierung des Betrags, nicht aber die vollständige Aufhebung der angefochtenen Verfügung beantragt. Sie macht geltend, die Vorinstanz habe diesbezüglich gegen den Grundsatz der Verhältnismässigkeit verstossen.</w:t>
      </w:r>
    </w:p>
    <w:p>
      <w:r>
        <w:rPr>
          <w:b/>
        </w:rPr>
        <w:t>E. 3.1</w:t>
      </w:r>
    </w:p>
    <w:p>
      <w:r>
        <w:t>Zur Begründung der auferlegten Belastung stützt sich die Vorinstanz auf die Sanktionsnorm von Art. 169 LwG. Danach kann im Falle einer Widerhandlung gegen das Landwirtschaftsgesetz, dessen Ausführungsbestimmungen oder die gestützt darauf erlassenen Verfügungen als Verwaltungsmassnahme insbesondere die Belastung mit einem Betrag von höchstens Fr. 10'000.- ergriffen werden (Art. 169 Abs. 1 Bst. h LwG).</w:t>
      </w:r>
    </w:p>
    <w:p>
      <w:r>
        <w:rPr>
          <w:b/>
        </w:rPr>
        <w:t>E. 3.2</w:t>
      </w:r>
    </w:p>
    <w:p>
      <w:r>
        <w:t>Art. 169 Abs. 1 Bst. h LwG ist als "Kann-Vorschrift" formuliert. Der Vorinstanz wird damit ein Ermessensspielraum eingeräumt, und zwar sowohl im Hinblick auf die Entscheidung, ob der betreffende Verstoss überhaupt sanktioniert wird (Entschliessungsermessen) als auch im Hinblick auf die Höhe der Sanktion (Auswahlermessen). Mit der Beschwerde an das Bundesverwaltungsgericht kann die Verletzung von Bundesrecht einschliesslich Überschreitung oder Missbrauch des Ermessens, die unrichtige oder unvollständige Feststellung des rechtserheblichen Sachverhaltes sowie die Unangemessenheit gerügt werden. Die Rüge der Unangemessenheit ist dann unzulässig, wenn eine kantonale Behörde als Beschwerdeinstanz verfügt hat (Art. 49 VwVG), was vorliegend aber nicht der Fall ist.</w:t>
      </w:r>
    </w:p>
    <w:p>
      <w:r>
        <w:rPr>
          <w:b/>
        </w:rPr>
        <w:t>E. 3.3</w:t>
      </w:r>
    </w:p>
    <w:p>
      <w:r>
        <w:t>Verwaltungsbehörden sind bei der Ermessensausübung nicht frei, sondern an den Grundsatz der Verhältnismässigkeit gebunden (Art. 5 Abs. 2 der Bundesverfassung der Schweizerischen Eidgenossenschaft vom 18. April 1999 [BV, SR 101]).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zur Belastung stehen, die der Beschwerdeführerin auferlegt wird.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II 384 E. 4.6.1). Ein vernünftiges Verhältnis zwischen Zweck und Mittel ist auch bei der Verhängung einer Verwaltungssanktion zu wahren (vgl. Urteil des Bundesgerichts 2P.274/2004 vom 13. April 2005 E. 4.1).</w:t>
      </w:r>
    </w:p>
    <w:p>
      <w:r>
        <w:rPr>
          <w:b/>
        </w:rPr>
        <w:t>E. 3.4</w:t>
      </w:r>
    </w:p>
    <w:p>
      <w:r>
        <w:t>Zu prüfen ist daher, ob die Höhe der Sanktion in einem angemessenen Verhältnis zur Verletzung der Rechtsgüter und Interessen steht, welche durch die Normen, gegen die die Beschwerdeführerin verstossen hat, geschützt werden, und ob das mit der angefochtenen Verfügung verfolgte Ziel auch durch die Auferlegung eines geringeren Geldbetrages hätte erreicht werden können.</w:t>
      </w:r>
    </w:p>
    <w:p>
      <w:r>
        <w:rPr>
          <w:b/>
        </w:rPr>
        <w:t>E. 3.4.1</w:t>
      </w:r>
    </w:p>
    <w:p>
      <w:r>
        <w:t>Die Vorinstanz hat den für die Sanktion gesetzlich vorgesehenen Rahmen von Fr. 10'000.- zwar nicht ausgeschöpft. Innerhalb dieses Sanktionsrahmens erscheint der verfügte Belastungsbetrag von Fr. 7'000.- indessen als relativ hoch. Die Beschwerdeführerin macht diesbezüglich geltend, ihr Betrieb sei zu klein, um den von der Vorinstanz verlangten Daten eine grössere Bedeutung beimessen zu können. Damit macht sie sinngemäss geltend, dass es schwer vorstellbar sei, dass ihre Pflichtverletzung die Statistik der Vorinstanz in einer für die Marktteilnehmer spürbaren Weise verfälscht hätte. Die Vorinstanz legt dagegen dar, dass sich das Fehlen der Daten der Beschwerdeführerin gravierend auf die Aussagekraft der Statistik auswirke. Die Beschwerdeführerin sei zwar - je nach Produkt - nur der (...)-, (...)-, (...)- oder (...)grösste Betrieb. Indessen sei eine repräsentative Auswahl von 14 (...) bestimmt worden, nämlich fünf kleine, fünf mittlere und vier grosse (...) aus unterschiedlichen Regionen der Schweiz. Für eine aussagekräftige Statistik seien die Daten aller dieser (...) erforderlich, auch diejenigen der Beschwerdeführerin. Verweigert ein einzelner Marktteilnehmer seine Mitwirkungspflicht an einer Statistik, so hängt die potentielle Auswirkung dieser Verweigerung auf die Statistik nicht nur von seinem eigenen Marktanteil, sondern auch von der angewandten statistischen Methode ab. Wird eine Totalerhebung bzw. eine möglichst vollständige Erhebung bei allen betroffenen Betrieben durchgeführt, so entspricht das durch die Verweigerung entstandene Fehlerpotential weitgehend dem Marktanteil des betroffenen Betriebs. Werden die Daten indessen lediglich bei einer fachgerecht und repräsentativ zusammengesetzten Stichprobe erhoben, um daraus Erkenntnisse in Bezug auf eine um ein Vielfaches grössere Grundgesamtheit zu folgern, so wirkt sich die Verweigerung eines Elements der Stichprobe ungleich grösser auf die Aussagekraft der gesamten Statistik aus. In diesem Fall multipliziert sich das Fehlerpotential aufgrund der nicht zur Verfügung stehenden Angaben um das Grössenverhältnis der Gesamtmenge zur Stichprobe. Der fachgerechten Zusammensetzung der Stichproben kommt daher in der Statistik grosse Bedeutung zu. Die Auswahl ist so vorzunehmen, dass aus dem Ergebnis der Teilerhebung möglichst exakt und sicher auf die Verhältnisse der Gesamtmasse geschlossen werden kann. Dabei kann beispielsweise die Grösse der Stichprobe einen wesentlichen Einfluss auf die Genauigkeit der Statistik haben (vgl. Ludwig Berekoven, Werner Eckert, Peter Ellenrieder, Marktforschung: Methodische Grundlagen und praktische Anwendung, 8. Aufl., Wiesbaden 1999, S. 50; G. Clauss, F.-R. Finze, L. Partzsch, Grundlagen der Statistik, Frankfurt a.M. 2011, S. 182 f). Im vorliegenden Fall impliziert die Argumentation der Vorinstanz prima facie, dass sie eine repräsentative Stichprobe in diesem Sinn zusammengestellt hatte, für welche die Mitwirkung auch der Beschwerdeführerin unabdingbar gewesen wäre. Eine genaue Betrachtung ihrer Ausführungen zeigt indessen, dass dies nicht der Fall war. So führt die Vorinstanz aus, dass die Anzahl der (...), auf deren Produkte sich ihre Statistik bezog, lediglich 65 betrug. Für die Stichprobe vorgesehen waren 14 (...) oder 22 % der (...), aber 84 % des mengenmässigen Marktvolumens der Produkte, über die sich die Statistik aussprechen sollte. Die relevante Gesamtmenge war somit weniger als 20 % grösser als die in Frage stehende Teilmenge. Unter diesen Umständen unterschieden sich die Auswirkungen der Verweigerung der Beschwerdeführerin, an der Erhebung bei dieser "Stichprobe" mitzuwirken, aber kaum von der Nichtmitwirkung an einer Totalerhebung. Entgegen der Auffassung der Beschwerdeführerin kann es indessen nicht entscheidend darauf ankommen, dass es im vorliegenden Fall unwahrscheinlich ist, dass die Verletzung ihrer Mitwirkungspflicht eine merkliche Auswirkung auf die Statistik der Vorinstanz hatte. Einerseits basiert diese fehlende Wahrscheinlichkeit nämlich wesentlich darauf, dass die Beschwerdeführerin sich als einzige ihrer Mitwirkungspflicht entzog, die übrigen angefragten Marktteilnehmer aber ihre Angaben einreichten. Vor allem aber ist in grundsätzlicher Weise festzuhalten, dass es den Zielen einer hinreichend aussagekräftigen und vertrauenswürdigen Marktbeobachtung zuwiderlaufen würde, wenn für gewisse Marktsegmente keine oder nur unvollständige Aussagen erhoben werden könnten, weil sich die mitwirkungspflichtigen Marktteilnehmer eigenmächtig ihrer gesetzlichen Mitwirkungspflicht entziehen. Andererseits stellt Art. 169 Abs. 1 Bst. h LwG die allgemeine Sanktionsnorm für eine Vielzahl von möglichen Verletzungen der Bestimmungen des Landwirtschaftgesetzes und dessen Ausführungsbestimmungen dar. Die Schwere der Verletzung der hier in Frage stehenden Mitwirkungspflicht müsste daher auch im Verhältnis zu anderen potentiellen Verstössen gegen die Landwirtschaftsgesetzgebung als vergleichsweise schwerwiegend erscheinen, um die Auferlegung eines Betrags von Fr. 7'000.- rechtfertigen zu können. Die von der Vorinstanz herausgegebene Statistik ist für die Marktteilnehmer zweifellos nützlich. Verglichen mit anderen möglichen Verstössen gegen die Landwirtschaftsgesetzgebung, wie beispielsweise etwa mit der Nichteinhaltung von Tierschutzbestimmungen, erscheint die Verletzung der Mitwirkungspflicht bei einer derartigen Statistik indessen als verhältnismässig wenig schwerwiegend.</w:t>
      </w:r>
    </w:p>
    <w:p>
      <w:r>
        <w:rPr>
          <w:b/>
        </w:rPr>
        <w:t>E. 3.4.2</w:t>
      </w:r>
    </w:p>
    <w:p>
      <w:r>
        <w:t>Bei der Frage der Zumessung der im vorliegenden Fall strittigen Verwaltungssanktion ist weiter darauf abzustellen, ob das mit der angefochtenen Verfügung verfolgte Ziel auch durch die Auferlegung eines geringeren Geldbetrages hätte erreicht werden können. Dieses Ziel besteht vorliegend darin, die Beschwerdeführerin dazu zu motivieren, ihrer Mitwirkungspflicht künftig fristgerecht nachzukommen. Die Beschwerdeführerin rügt, die Belastung sei unverhältnismässig, weil sie erstmals mit einer Belastung wegen Verletzung ihrer Mitwirkungspflicht belegt worden sei. Dies trifft zwar zu. Unbestritten und aktenkundig ist indessen, dass sie in Bezug auf die Erfüllung ihrer Mitwirkungspflicht gemäss Art. 2a Marktbeobachtungsverordnung als ausgesprochen renitenter Fall anzusehen ist. Aus den Akten der Vorinstanz geht hervor, dass sie sich bereits seit Dezember 2005 geweigert hatte, die verlangten Daten zu liefern. In der Zeitspanne von 2008 bis Anfangs 2011 erhielt sie von der Vorinstanz offenbar mehrere telefonische und mindestens elf schriftliche Mahnungen, darunter mehrere mit der Androhung, dass eine gebührenpflichtige Verfügung erlassen würde, wenn sie der Mahnung nicht nachkommen sollte. Mit Verfügung vom 18. Februar 2011 drohte ihr die Vorinstanz für den Fall weiterer Verstösse eine Sanktion an und forderte sie erneut zur Lieferung der Daten für das 3. und 4. Quartal 2010 auf. Dass sie die verlangten Daten trotzdem nicht lieferte, kann unter diesen Umständen nur als vorsätzliche und wiederholte Pflichtverletzung eingestuft werden. Hinzu kommt, dass aus ihrer Beschwerdeschrift keine Absicht, ihre Daten in Zukunft fristgerecht zu liefern, erkennbar ist. Die Beschwerdeführerin ist indessen ein (...)betrieb, weshalb anzunehmen ist, dass ihr Entscheid, ihrer Mitwirkungspflicht künftig nachzukommen oder nicht, rational bzw. durch einen Kosten-/Nutzenvergleich beeinflussbar ist. Aus den Rechtsschriften der Beschwerdeführerin und den in den Akten befindlichen Emails ergibt sich, dass ihre Pflichtverletzungen wesentlich auf den ihr entstandenen Aufwand für die Datenbeschaffung und -lieferung zurückzuführen waren. Wie gross genau dieser Aufwand ist, ist zwar nicht belegt. Indessen ist zu unterstellen, dass es sich dabei um einen Aufwand von nicht mehr als einigen wenigen Stunden handelt. Wäre der Aufwand für die betroffenen Unternehmen und die dadurch verursachte Kosten nämlich wesentlich grösser, würde sich ernsthaft die Frage stellen, ob die Praxis der Vorinstanz, für die Mitwirkung an ihrer Statistik ständig die Beschwerdeführerin, die meisten anderen (...) dagegen nur selten oder überhaupt nicht heranzuziehen, nicht gegen den Grundsatz der rechtsgleichen Behandlung der Gewerbegenossen verstossen könnte. Vorliegend ist daher davon auszugehen, dass die Belastung mit einem Betrag, der geringfügig höher ist als die ihr durch die für die Datenbeschaffung und -lieferung aufgewendete Zeit verursachten Kosten, bereits ausreicht, um ihre künftige Mitarbeit sicher zu stellen. Diesbezüglich erscheint - jedenfalls bei einer erstmaligen Sanktionierung - eine Belastung im Betrag von Fr. 700.- als ausreichend, die von der Vorinstanz verfügte Belastung von Fr. 7'000.- dagegen als offensichtlich unverhältnismässig.</w:t>
      </w:r>
    </w:p>
    <w:p>
      <w:r>
        <w:rPr>
          <w:b/>
        </w:rPr>
        <w:t>E. 3.5</w:t>
      </w:r>
    </w:p>
    <w:p>
      <w:r>
        <w:t>Zusammenfassend ist festzuhalten, dass der auferlegte Betrag unverhältnismässig hoch und auf Fr. 700.- zu reduzieren ist.</w:t>
      </w:r>
    </w:p>
    <w:p>
      <w:r>
        <w:rPr>
          <w:b/>
        </w:rPr>
        <w:t>E. 4</w:t>
      </w:r>
    </w:p>
    <w:p>
      <w:r>
        <w:t>Die Beschwerde erweist sich somit teilweise als begründet und ist dementsprechend teilweise gutzuheissen.</w:t>
      </w:r>
    </w:p>
    <w:p>
      <w:r>
        <w:rPr>
          <w:b/>
        </w:rPr>
        <w:t>E. 5</w:t>
      </w:r>
    </w:p>
    <w:p>
      <w:r>
        <w:t>Bei diesem Ausgang des Verfahrens gilt die Beschwerdeführerin als überwiegend obsiegende Partei, weshalb ihr lediglich ermässigte Verfahrenskosten aufzuerlegen sind (vgl. Art. 63 Abs. 1 VwVG). Keine Verfahrenskosten werden Vorinstanzen auferlegt (Art. 63 Abs. 2 VwVG).</w:t>
      </w:r>
    </w:p>
    <w:p>
      <w:r>
        <w:rPr>
          <w:b/>
        </w:rPr>
        <w:t>E. 6</w:t>
      </w:r>
    </w:p>
    <w:p>
      <w:r>
        <w:t>Der anwaltlich nicht vertretenen Beschwerdeführerin ist keine Parteientschädigung zuzusprechen (vgl. Art. 64 VwVG, Art. 7 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