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B-3536/2016 vom 20. Januar 2017</w:t>
      </w:r>
    </w:p>
    <w:p>
      <w:r>
        <w:t>Bundesverwaltungsgericht, 2017-01-20, DE</w:t>
      </w:r>
    </w:p>
    <w:p>
      <w:r>
        <w:rPr>
          <w:b/>
        </w:rPr>
        <w:t xml:space="preserve">Quelle: </w:t>
      </w:r>
      <w:r>
        <w:t>https://mcp.opencaselaw.ch/entscheid/bvger_B-3536_2016</w:t>
      </w:r>
    </w:p>
    <w:p>
      <w:r>
        <w:t>FR: TAF B-3536/2016 du 20 janvier 2017</w:t>
      </w:r>
    </w:p>
    <w:p>
      <w:r>
        <w:t>IT: TAF B-3536/2016 del 20 gennaio 2017</w:t>
      </w:r>
    </w:p>
    <w:p>
      <w:pPr>
        <w:pStyle w:val="Heading2"/>
      </w:pPr>
      <w:r>
        <w:t>Regeste</w:t>
      </w:r>
    </w:p>
    <w:p>
      <w:r>
        <w:t>Sprache Kunst und Kultur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wie hier keine Ausnahme nach Art. 32 VGG vorliegt. Zulässig sind Beschwerden gegen Verfügungen von Vorinstanzen gemäss Art. 33 VGG. Das Bundesamt für Kultur BAK ist eine Vorinstanz im Sinne von Art. 33 Bst. d VGG. 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44 ff. VwVG).</w:t>
      </w:r>
    </w:p>
    <w:p>
      <w:r>
        <w:rPr>
          <w:b/>
        </w:rPr>
        <w:t>E. 1.2</w:t>
      </w:r>
    </w:p>
    <w:p>
      <w:r>
        <w:t>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 Gestützt auf Art. 26 Abs. 2 des Kulturförderungsgesetzes vom 11. Dezember 2009 (KFG, SR 442.1) ist die Rüge der Unangemessenheit unzulässig, so dass das Bundesverwaltungsgericht die vorliegende Beschwerde nicht mit voller Kognition beurteilt.</w:t>
      </w:r>
    </w:p>
    <w:p>
      <w:r>
        <w:rPr>
          <w:b/>
        </w:rPr>
        <w:t>E. 2</w:t>
      </w:r>
    </w:p>
    <w:p>
      <w:r>
        <w:t>Art. 67a BV lautet wie folgt: 1Bund und Kantone fördern die musikalische Bildung, insbesondere von Kindern und Jugendlichen. 2Sie setzen sich im Rahmen ihrer Zuständigkeiten für einen hochwertigen Musikunterricht an Schulen ein. Erreichen die Kantone auf dem Koordinationsweg keine Harmonisierung der Ziele des Musikunterrichts an Schulen, so erlässt der Bund die notwendigen Vorschriften. 3Der Bund legt unter Mitwirkung der Kantone Grundsätze fest für den Zugang der Jugend zum Musizieren und die Förderung musikalisch Begabter. Die Initiative [...], deren Gegenentwurf am [...] September 2012 Volk und Stände guthiessen, wodurch dieser Artikel Aufnahme in die BV fand, wollte die Kompetenzordnung zwischen dem Bund und den Kantonen im Bereich der Schulbildung modifizieren und die schulische wie auch die ausserschulische Musikbildung stärken (Schweizer/Bernet, in: St. Galler Kommentar, Die schweizerische Bundesverfassung, 3. Aufl. 2014, Art. 67a N. 2 ff., [nachfolgend: St. Galler Kommentar]). Während die Initiative noch eine Grundsatzgesetzgebung des Bundes für den schulischen Musikbereich forderte, orientiert sich Art. 67a Abs. 2 BV nun an der geltenden Bildungsverfassung (Schweizer/Bernet, St. Galler Kommentar, Art. 67a N. 22). Der Bund und die Kantone sind durch den Entscheid von Volk und Ständen vom [...]. September 2012 gehalten, spezifische Massnahmen zur Förderung der schulischen und der ausserschulischen musikalischen Bildung von Kindern und Jugendlichen zu ergreifen. Voraussetzungen dafür wären gesetzliche Grundlagen, die auf Bundesebene jedoch weitgehend fehlen, sowie besondere Fachkompetenzen für die musikalische Bildung, über welche die Behörden von Bund und Kantonen bisher aber kaum verfügen. Im Bereich der Schule obliegt es nun den Kantonen, in einer Koordination die Ziele des schulischen Musikunterrichtes zu harmonisieren. Erst subsidiär, nämlich wenn dieser Koordinationsweg scheitert, muss der Bund die notwendigen Vorschriften erlassen. In den Kantonen ist zudem insbesondere die rechtliche Verankerung des Bildungsauftrages der Musikschulen in die kantonale Bildungsgesetzgebung zu integrieren sowie deren Finanzierung. Im ausserschulischen Bereich ist es die Aufgabe des Bundes, unter Mitwirkung der Kantone, die Grundsätze für den Zugang der Jugend zum Musizieren sowie die Förderung musikalisch Begabter festzulegen. Um diese Bestimmungen zu umschreiben, braucht es ein Gesetz im materiellen Sinne (Schweizer/Bernet, St. Galler Kommentar, Art. 67a N. 45 ff). Art. 67a BV ist nicht justiziabel, so dass die Beschwerdeführerin keine Ansprüche aus Art. 67a BV direkt ableiten kann.</w:t>
      </w:r>
    </w:p>
    <w:p>
      <w:r>
        <w:rPr>
          <w:b/>
        </w:rPr>
        <w:t>E. 3.1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(BVGE 2011/13 E. 15.4, Urteile des BVGer B-4572/2012 vom 17. März 2015 E. 4.1 und A-3479/2012 vom 8. Januar 2013 E. 2.1.1; Tschannen/Zimmerli/Müller, Allgemeines Verwaltungsrecht, 4. Aufl. 2014, § 19 Rz. 2; Häfelin/Müller/ Uhlmann, Allgemeines Verwaltungsrecht, 6. Aufl. 2010, Rz. 381 ff.).</w:t>
      </w:r>
    </w:p>
    <w:p>
      <w:r>
        <w:rPr>
          <w:b/>
        </w:rPr>
        <w:t>E. 3.2</w:t>
      </w:r>
    </w:p>
    <w:p>
      <w:r>
        <w:t>Durch Gesetzesdelegation ermächtigt der Gesetzgeber die Exekutive zum Erlass von gesetzesvertretenden Verordnungen. Eine Gesetzesdelegation gilt als zulässig, wenn sie nicht durch die Verfassung ausgeschlossen ist, in einem Gesetz im formellen Sinn enthalten ist, sich auf ein bestimmtes, genau umschriebenes Sachgebiet beschränkt und die Grund-sätze der delegierten Materie - das heisst die wichtigen Regelungen - im delegierenden Gesetz selbst enthalten sind (Art. 164 Abs. 1 BV; BGE 134 I 322 E. 2.4 und 2.6.3, 133 II 331 E. 7.2.1, 128 I 113 E 3c; Urteil B-4572/ 2012 E. 4.2; Häfelin/Müller/Uhlmann, a.a.O., Rz. 407).</w:t>
      </w:r>
    </w:p>
    <w:p>
      <w:r>
        <w:rPr>
          <w:b/>
        </w:rPr>
        <w:t>E. 3.3</w:t>
      </w:r>
    </w:p>
    <w:p>
      <w:r>
        <w:t>Das Bundesverwaltungsgericht kann auf Beschwerde hin vorfrageweise Verordnungen des Bundesrates auf ihre Gesetz- und Verfassungsmässigkeit prüfen (konkrete Normenkontrolle; Urteil des BVGer A-8057/ 2010 vom 6. September 2011 E. 1.3.2). Der Umfang der Kognition hängt dabei davon ab, ob es sich um eine unselbständige oder eine selbständige Verordnung handelt (Moser/Beusch/Kneubühler, Prozessieren vor dem Bundesverwaltungsgericht,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(BGE 136 II 337 E. 5.1, 131 II 562 E. 3.2, 130 I 26 E. 2.2.1; Urteil B-4572/2012 E. 4.5).</w:t>
      </w:r>
    </w:p>
    <w:p>
      <w:r>
        <w:rPr>
          <w:b/>
        </w:rPr>
        <w:t>E. 3.4</w:t>
      </w:r>
    </w:p>
    <w:p>
      <w:r>
        <w:t>Die vorfrageweise Feststellung einer Gesetz- oder Verfassungswidrigkeit führt indes nicht zur Aufhebung einer bundesrätlichen Verordnung, sondern zur Nichtanwendung der entsprechenden Bestimmung und Aufhebung der darauf gestützten Verfügung (BGE 107 Ib 243 E. 4b in fine, Urteil des BGer 2C_735/2007 vom 25 Juni 2008 E. 4.2; Urteil B-4572/2012 E. 4.6).</w:t>
      </w:r>
    </w:p>
    <w:p>
      <w:r>
        <w:rPr>
          <w:b/>
        </w:rPr>
        <w:t>E. 4.1</w:t>
      </w:r>
    </w:p>
    <w:p>
      <w:r>
        <w:t>Gestützt auf Art. 28 Abs. 1 KFG erlässt das EDI Förderungskonzepte für einzelne Bereiche der Kulturförderung nach den Art. 9a, 10, 12-15, 16 Abs. 1 und Bst. a, 17 und 18 KFG. Die Förderungskonzepte legen die Förderungsziele, die Förderungsinstrumente und die massgeblichen Kriterien für die Förderung fest (Art. 28 Abs. 2 KFG). Sie werden in Form einer Verordnung und in der Regel für die Geltungsdauer der Finanzierungsbeschlüsse nach Art. 27 Abs. 3 KFG erlassen (Art. 28 Abs. 3 KFG). Das EDI konnte sich beim Erlass des Förderungskonzepts auf eine Delegation von Rechtsetzungsbefugnissen stützen. Dem EDI wurde durch die gesetzliche Delegation ein sehr weiter Bereich des Ermessens für die Regelung auf Verordnungsstufe eingeräumt und dieser Spielraum ist nach Art. 190 BV für das Bundesverwaltungsgericht verbindlich (vgl. E. 3.3 hiervor).</w:t>
      </w:r>
    </w:p>
    <w:p>
      <w:r>
        <w:rPr>
          <w:b/>
        </w:rPr>
        <w:t>E. 4.2</w:t>
      </w:r>
    </w:p>
    <w:p>
      <w:r>
        <w:t>Gemäss Art. 1 und Art. 3 Abs. 2 Förderungskonzept soll damit lediglich die musikalische Förderung von Jugendlichen im ausserschulischen Bereich unterstützt werden. Die Abgrenzung schulisch/ausserschulisch ist ausschlaggebend, weil der schulische Bereich primär in der Zuständigkeit der Kantone liegt (Art. 62 Abs. 1 BV; Bernhard Ehrenzeller, St. Galler Kommentar, Art. 62, N 67; vgl. E. 2 hiervor). Als Kriterien der Unterscheidung hat die Vorinstanz nachvollziehbarerweise die Integration des Projekts in den Schulunterricht und den Zeitanteil geprüft, den es inner- und ausserhalb des Unterrichts beansprucht. Der gutgeheissene Gegenvorschlag zur Initiative [...] hat die Abgrenzung der ausserschulischen Förderung bekräftigt (vgl. Art. 67a Abs. 2 BV; vorstehend, E. 2). Eine Quersubventionierung von der Konkurrenz mit schulischen Veranstaltungen durch Fördermittel des Bundes würde deshalb die verfassungsmässige Zuständigkeitsordnung verletzen. Die Beschwerdeführerin stützt ihre Argumente und eine Kalkulation von Förderungsmitteln, die sie gegen diese Abgrenzung vorbringt, hauptsächlich auf politische Ansichten über Musikschulen und eine für sie wünschenswerte Umsetzung des Verfassungsartikels, die sie allerdings an den Gesetzgeber richten müsste (vgl. E. 2).</w:t>
      </w:r>
    </w:p>
    <w:p>
      <w:r>
        <w:rPr>
          <w:b/>
        </w:rPr>
        <w:t>E. 4.3</w:t>
      </w:r>
    </w:p>
    <w:p>
      <w:r>
        <w:t>Vorliegend erarbeiten Schülerinnen und Schüler im Rahmen des Projekts [...] unter der Leitung ihrer Lehrpersonen im Klassenverband oder im fakultativen Chor mittels einer Playback-CD ein mehrsprachiges Liedprogramm. Die Vorbereitung findet demzufolge hauptsächlich im ordentlichen Schulunterricht statt und dauert jeweils von August bis Dezember. Zwischen 200 und 400 Kinder schliessen sich sodann ausserhalb der Unterrichtszeiten an einem Konzert zu einem Gesamtchor zusammen und treten mit dem C._______ in einem Konzertsaal auf. Auch die Hauptprobe findet im Konzertsaal statt. Nachdem zuvor aber der grössere Zeitanteil, nämlich die mehrmonatige Vorbereitungsphase, im Rahmen des ordentlichen Schulunterrichts stattfindet, hat die Vorinstanz ihr Ermessen nicht überschritten, wenn sie befand, es handle sich um ein vorwiegend schulisches Projekt, das nicht in die Förderkompetenz des Bundes falle. Auf die Argumente der Beschwerdeführerin zur Auslegung und verfassungsmässigen Anwendung des Förderkonzepts ist bei diesem Ergebnis nicht näher einzugehen. Nach dem Gesagten erweist die Beschwerde sich als unbegründet und ist abzuweisen.</w:t>
      </w:r>
    </w:p>
    <w:p>
      <w:r>
        <w:rPr>
          <w:b/>
        </w:rPr>
        <w:t>E. 5</w:t>
      </w:r>
    </w:p>
    <w:p>
      <w:r>
        <w:t>Bei diesem Ausgang sind die Kosten des Beschwerdeverfahrens der Beschwerdeführerin aufzuerlegen (Art. 63 Abs. 1 VwVG) und werden dem geleisteten Kostenvorschuss entnommen.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vorliegenden Fall ging es um eine Subvention von Fr. 80'000.-, so dass die Kosten auf Fr. 1'800.- (Art. 4 VGKE) zu beziffern sind. Der unterliegenden Beschwerdeführerin wird keine Parteientschädigung zugesprochen (Art. 64 Abs. 1 VwVG e contrario).</w:t>
      </w:r>
    </w:p>
    <w:p>
      <w:r>
        <w:rPr>
          <w:b/>
        </w:rPr>
        <w:t>E. 6</w:t>
      </w:r>
    </w:p>
    <w:p>
      <w:r>
        <w:t>Gemäss Art. 83 Bst. k des Bundesgerichtsgesetzes vom 17. Juni 2005 (BGG, SR 173.110) ist die Beschwerde ans Bundesgericht gegen Entscheide betreffend Subventionen, auf die kein Anspruch besteht, ausgeschlossen, womit dieses Urteil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