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B-3515/2020 vom 2. Dezember 2020</w:t>
      </w:r>
    </w:p>
    <w:p>
      <w:r>
        <w:t>Bundesverwaltungsgericht, 2020-12-02, DE</w:t>
      </w:r>
    </w:p>
    <w:p>
      <w:r>
        <w:rPr>
          <w:b/>
        </w:rPr>
        <w:t xml:space="preserve">Quelle: </w:t>
      </w:r>
      <w:r>
        <w:t>https://mcp.opencaselaw.ch/entscheid/bvger_B-3515_2020</w:t>
      </w:r>
    </w:p>
    <w:p>
      <w:r>
        <w:t>FR: TAF B-3515/2020 du 2 décembre 2020</w:t>
      </w:r>
    </w:p>
    <w:p>
      <w:r>
        <w:t>IT: TAF B-3515/2020 del 2 dicembre 2020</w:t>
      </w:r>
    </w:p>
    <w:p>
      <w:pPr>
        <w:pStyle w:val="Heading2"/>
      </w:pPr>
      <w:r>
        <w:t>Regeste</w:t>
      </w:r>
    </w:p>
    <w:p>
      <w:r>
        <w:t>Aussenhandel</w:t>
      </w:r>
    </w:p>
    <w:p>
      <w:pPr>
        <w:pStyle w:val="Heading2"/>
      </w:pPr>
      <w:r>
        <w:t>Erwägungen</w:t>
      </w:r>
    </w:p>
    <w:p>
      <w:r>
        <w:rPr>
          <w:b/>
        </w:rPr>
        <w:t>E. 1</w:t>
      </w:r>
    </w:p>
    <w:p>
      <w:r>
        <w:t>Auf die Beschwerde betreffend Ziff. 1 (Einzelausfuhrgesuch Nr. _______ [1] vom 28. Januar 2020) und Ziff. 2 (Einzelausfuhrgesuch Nr. _______ [2] vom 6. Februar 2020) der Verfügung vom 3. Juli 2020 wird nicht eingetreten.</w:t>
      </w:r>
    </w:p>
    <w:p>
      <w:r>
        <w:rPr>
          <w:b/>
        </w:rPr>
        <w:t>E. 2</w:t>
      </w:r>
    </w:p>
    <w:p>
      <w:r>
        <w:t>Betreffend Ziff. 3 (Einzelausfuhrgesuch Nr. _______ [3] vom 23. Juni 2020) der Verfügung vom 3. Juli 2020 wird die Beschwerde gutgeheissen und Ziff. 3 der Verfügung vom 3. Juli 2020 aufgehoben.</w:t>
      </w:r>
    </w:p>
    <w:p>
      <w:r>
        <w:rPr>
          <w:b/>
        </w:rPr>
        <w:t>E. 3</w:t>
      </w:r>
    </w:p>
    <w:p>
      <w:r>
        <w:t>Die Verfahrenskosten von Fr. 2'500.- werden der Beschwerdeführerin im Umfang von Fr. 1'700.- auferlegt und mit dem geleisteten Kostenvorschuss von Fr. 3'500.- verrechnet. Der Überschuss von Fr. 1'800.- wird der Beschwerdeführerin nach Eintritt der Rechtskraft des vorliegenden Urteils aus der Gerichtskasse zurückerstattet.</w:t>
      </w:r>
    </w:p>
    <w:p>
      <w:r>
        <w:rPr>
          <w:b/>
        </w:rPr>
        <w:t>E. 4</w:t>
      </w:r>
    </w:p>
    <w:p>
      <w:r>
        <w:t>Der Beschwerdeführerin wird zu Lasten der Vorinstanz eine Parteientschädigung von Fr. 2'500.- (inkl. MWSt) zugesprochen.</w:t>
      </w:r>
    </w:p>
    <w:p>
      <w:r>
        <w:rPr>
          <w:b/>
        </w:rPr>
        <w:t>E. 5</w:t>
      </w:r>
    </w:p>
    <w:p>
      <w:r>
        <w:t>Dieses Urteil geht an: - die Beschwerdeführerin (Gerichtsurkunde; Beilage: Rückerstattungs-formular) - die Vorinstanz (Ref-Nr. [...]; Gerichtsurkunde) - das Eidgenössische Departement für Wirtschaft, Bildung und Forschung, Bundeshaus Ost, 3003 Bern (Gerichtsurkunde) Die vorsitzende Richterin: Die Gerichtsschreiberin: Vera Marantelli Corine Knupp Rechtsmittelbelehrung: Gegen diesen Entscheid kann innert 30 Tagen nach Eröffnung beim Bundesgericht, 1000 Lausanne 14,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8. Dezember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