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B-3488/2014 vom 25. Juni 2015</w:t>
      </w:r>
    </w:p>
    <w:p>
      <w:r>
        <w:t>Bundesverwaltungsgericht, 2015-06-25, DE</w:t>
      </w:r>
    </w:p>
    <w:p>
      <w:r>
        <w:rPr>
          <w:b/>
        </w:rPr>
        <w:t xml:space="preserve">Quelle: </w:t>
      </w:r>
      <w:r>
        <w:t>https://mcp.opencaselaw.ch/entscheid/bvger_B-3488_2014</w:t>
      </w:r>
    </w:p>
    <w:p>
      <w:r>
        <w:t>FR: TAF B-3488/2014 du 25 juin 2015</w:t>
      </w:r>
    </w:p>
    <w:p>
      <w:r>
        <w:t>IT: TAF B-3488/2014 del 25 giugno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Widerspruchsachen zuständig (Art. 31, 32, 33 Bst. e des Verwaltungsgerichtsgesetzes vom 17. Juni 2005 [VGG, SR 173.32]). Als Widersprechende hat die Beschwerdeführerin am vorinstanzlichen Verfahren teilgenommen. Sie ist durch die angefochtene Verfügung besonders berührt und beschwert (Art. 48 Abs. 1 des Verwaltungsverfahrensgesetzes vom 20. Dezember 1968 [VwVG, SR 172.021]). Die Beschwerde wurde innert Frist und formgerecht erhoben (Art. 50 Abs. 1 VwVG), der Kostenvorschuss fristgemäss bezahlt (Art. 63 Abs. 4 VwVG). Auf die Beschwerde ist darum einzutreten.</w:t>
      </w:r>
    </w:p>
    <w:p>
      <w:r>
        <w:rPr>
          <w:b/>
        </w:rPr>
        <w:t>E. 2</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2.1</w:t>
      </w:r>
    </w:p>
    <w:p>
      <w:r>
        <w:t>Die Gleichartigkeit der Waren und Dienstleistungen beurteilt sich anhand der Einträge im Markenregister (Urteil des BVGer B 531/2013 vom 21. Oktober 2013 E. 2.2 mit Hinweisen "Gallo/Gallay [fig.]"), soweit aufgrund einer Nichtgebrauchseinrede keine Einschränkung gegeben ist (Urteil des BVGer B 5179/2012 vom 20. Mai 2014 E. 3.2 "Tivo/Tivù Sat HD [fig.]; Gallus Joller, in: Noth/Bühler/Thouvenin (Hrsg.), Stämpflis Handkommentar Markenschutzgesetz (MSchG), 1. Aufl. 2009, [nachfolgend: MSchG], Art. 3 N. 235; Willi, a.a.O., Art. 3 N. 37).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 2269/2011 vom 9. März 2012 E. 6.5.1 "Bonewelding [fig.]"; B 758/2007 vom 26. Juli 2007 E. 5.1 "G-mode/G-mo­de"; Joller, MSchG, Art. 3 N. 300). Eine Gleichartigkeit kann nicht nur zwischen Waren oder Dienstleistungen je untereinander bestehen, sondern auch zwischen diesen beiden Kategorien von Produkten (Urteile des BVGer B 5179/2012 vom 20. Mai 2014 E. 3.2 "Tivo/Tivù Sat HD [fig.]"; B 2269/2011 vom 9. März 2012 E. 6.5.1 "Bonenwelding"; Eugen Marbach, Markenrecht, in: von Büren/David [Hrsg.], Schweizerisches Immaterialgüter- und Wettbewerbsrecht [SIWR] Bd. III/1, 2. Aufl. 2009, Rz. 853 ff.; Willi, a.a.O., Art. 3 N. 35).</w:t>
      </w:r>
    </w:p>
    <w:p>
      <w:r>
        <w:rPr>
          <w:b/>
        </w:rPr>
        <w:t>E. 2.2</w:t>
      </w:r>
    </w:p>
    <w:p>
      <w:r>
        <w:t>Die Zeichenähnlichkeit beurteilt sich nach dem Gesamteindruck der Marken (BGE 128 III 446 E. 3.1 "Appenzeller"; David, a.a.O., Art. 3 N. 11) sowie, da zwei Zeichen meist nicht gleichzeitig wahrgenommen werden, nach dem Erinnerungsbild der Abnehmer (BGE 121 III 377 E. 2.a "Boss/ Boks"; 119 II 476 E. 2.d "Radion/Radiomat"; Marbach, a.a.O., Rz. 867; David, a.a.O., Art. 3 N. 15). Dabei kommt dem Zeichenanfang in der Regel eine höhere Bedeutung zu, da er besser im Gedächtnis haften bleibt (Urteile des BVGer B 3325/2010 vom 15. Dezember 2010 E. 4.5 "Bally/ Tally"; B 6012/2008 vom 25. November 2009 E. 4.9 "Stenflex/Star Flex [fig.]").</w:t>
      </w:r>
    </w:p>
    <w:p>
      <w:r>
        <w:rPr>
          <w:b/>
        </w:rPr>
        <w:t>E. 2.3</w:t>
      </w:r>
    </w:p>
    <w:p>
      <w:r>
        <w:t>Bei aus Wort- und Bildelementen kombinierten Marken sind die einzelnen Bestandteile nach ihrer Unterscheidungskraft zu gewichten. Enthält eine Marke charakteristische Wort- wie Bildelemente, können diese den Erinnerungseindruck gleichermassen prägen (Urteile des BVGer B 5179/2012 vom 20. Mai 2014 E. 3.4 mit Hinweisen "Tivo/Tivù Sat HD [fig.]"; B 4159/2009 vom 25. November 2009 E. 2.4 "Efe/Eve"). Für die Ähnlichkeit verbaler Zeichen sind der Wortklang, das Schriftbild und gegebenenfalls der Sinngehalt massgebend (BGE 127 III 160 E. 2.b/cc "Securitas"; Marbach, a.a.O., Rz. 872 ff.). Eine Ähnlichkeit im Wortklang oder Schriftbild allein genügt in der Regel (Entscheid der Eidgenössischen Rekurskommission für geistiges Eigentum [RKGE] vom 5. Juli 2006, Zeitschrift für Immaterialgüter-, Informations- und Wettbewerbsrecht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2.5</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Die Verwechslungsgefahr kann hingegen im Gesamteindruck entfallen, wenn es sich beim übernommenen Element um einen schwachen Bestandteil handelt, der mit einem kennzeichnungskräftigen verbunden wurde (Urteile des BVGer B 5179/2012 vom 20. Mai 2014 E. 3.5 "Tivo/Tivù Sat HD [fig.]"; B 502/2009 vom 3. November 2009 E. 5.2.1, 6 "Premium ingredients, s.l. [fig.]/Premium Ingredients International [fig.]").</w:t>
      </w:r>
    </w:p>
    <w:p>
      <w:r>
        <w:rPr>
          <w:b/>
        </w:rPr>
        <w:t>E. 2.6</w:t>
      </w:r>
    </w:p>
    <w:p>
      <w:r>
        <w:t>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w:t>
      </w:r>
    </w:p>
    <w:p>
      <w:r>
        <w:rPr>
          <w:b/>
        </w:rPr>
        <w:t>E. 3</w:t>
      </w:r>
    </w:p>
    <w:p>
      <w:r>
        <w:t>Zunächst sind die massgeblichen Verkehrskreise zu bestimmen. Kakao- und Schokolade, für welche die Widerspruchsmarke beansprucht wird, werden gleich wie die Grundnahrungs- und Lebensmittel der angefochtenen Marke täglich von einem breiten Publikum und in unterschiedlichen Verarbeitungsstufen erworben, weshalb von einer eher geringen Aufmerksamkeit der angesprochenen Verkehrskreise auszugehen ist (BGE 126 III 315 E. 6b/bb "Apiella" BGE 122 III 382 E. 3a "Kamillosan"; Urteil des BGer 4C.258/2004 vom 6. Oktober 2004 E. 2.3 "Yello").</w:t>
      </w:r>
    </w:p>
    <w:p>
      <w:r>
        <w:rPr>
          <w:b/>
        </w:rPr>
        <w:t>E. 4</w:t>
      </w:r>
    </w:p>
    <w:p>
      <w:r>
        <w:t>Lebensmittel des täglichen Bedarfs, die dazu bestimmt sind, in der Küche verwendet zu werden, werden als gleichartig angesehen, da ihr Verwendungszweck übereinstimmt und die Vertriebswege weitgehend identisch sind (Entscheid der RKGE vom 27. März 2001 E.4 "Elsie (fig.) / Elsa (fig.)", veröffentlicht in sic! 2001 S. 323; Entscheid der RKGE vom 14. Februar 1997 E. 7 "Gourmet House", veröffentlicht in sic! 1997 S. 177). Schokoladeprodukte in Klasse 30 wurden aufgrund ihrer unterschiedlichen Produktionsstätten jedoch nur als entfernt gleichartig mit Ge­müsekonserven in Klasse 29 betrachtet (Entscheid der RKGE vom 5. Oktober 2000 E. 5 "Naturella/Naturessa", veröffentlicht in sic! 2000 S. 800). Eine Gleichartigkeit zwischen Rohstoffen und Halbfabrikaten einerseits und Fertigprodukten andererseits, namentlich von Brot im Vergleich zu Zucker, Salz und Gewürzen, hat das BVGer verneint (Urteil des BVGer B 3622/2010 vom 1. Dezember 2010 E. 3.2.2 "Wurzelbrot/Wurzelrusti"). Die von der Beschwerdeführerin vertretene Gleichartigkeit sämtlicher Lebensmittel, die sie ohne nähere Substantiierung auf die breite Angebots­palette einzelner Grossproduzenten der Branche stützen will, widerspricht deshalb ebenso der bisherigen Rechtsprechung wie der von ihr behaupteten, fortschreitenden Diversifizierung des Lebensmittelsektors. Ein Grund, von der bisherigen Rechtsprechung abzuweichen, ist daraus nicht ersichtlich. Die Vorinstanz hat vielmehr die Gleichartigkeit von "Kakao- und Schokoladepulver; Schokolade ungefüllt und gefüllt; Schokoladekonfekt, nämlich kleinen assortierten Schokoladen (Pralinen); Schokoladenhohlfiguren und massiven Schokoladenfiguren" einerseits und Kaffee, Kakao, Kaffeeersatzmittel, Getränken auf Kaffee- oder Kakaobasis, Getränken auf Schokoladebasis, Makkaroni, Ravioli, Vermicelles, Pâtisserie- und Bäckereiwaren, Schokoladedesserts, Honig, Gelée Royale, Propolis (Bienenharz), Lebensmittel-Gewürzstoffen, Hefe, Backpulver, Mehl aller Art, Griess, Maisstärke, Kristallzucker, Würfelzucker, Puderzucker, Tee, Eistee, Confiserie, Schokolade, Biskuits, Crackers, Waffeln, Kaugummi, Eiskrem, Speiseeis, Salz, kornbasierten Produkten und Melasse-Sirup anderseits mit einlässlicher Begründung und folgerichtig differenziert beurteilt und richtigerweise betreffend Makkaroni, Ravioli, Honig, Gelée Royale, Propolis, Lebensmittel-Gewürzstoffen, Hefe, Backpulver, Mehl aller Art, Griess, Maisstärke, Kristallzucker, Würfelzucker, Puderzucker, Kaugummi, Salz und Melasse-Sirup verneint.</w:t>
      </w:r>
    </w:p>
    <w:p>
      <w:r>
        <w:rPr>
          <w:b/>
        </w:rPr>
        <w:t>E. 5</w:t>
      </w:r>
    </w:p>
    <w:p>
      <w:r>
        <w:t>Die Beschwerdeführerin wendet sich gegen die Annahme einer reduzierten Kennzeichnungskraft ihrer Widerspruchsmarke TEDDY, welche die Vorinstanz mit dem verbreiteten, ursprünglich englischen Diminutiv für einen Plüschbären für Kinder ("Teddybär") begründet und ausführt, die Marke spiele aufgrund des Sinngehalts leicht erkennbar auf die mögliche Form der gekennzeichneten Schokolade an. Die Beschwerdeführerin macht geltend, die Vorstellung eines flauschigen Teddybären dränge sich im Zusammenhang mit Schokolade nicht auf, gesteht aber ein, dass Schokolade in Form von Bären bzw. kindgerecht verniedlichten Bärchen häufig auf den Markt kommt. Zu berücksichtigen ist in diesem Zusammenhang, dass sich das Publikum an gewisse Tierformen wie Käfer, Mäuse, Hasen und Bären aus gegossener Schokolade besonders gewöhnt hat (vgl. Urteil des BVGer B-2054/ 2011 vom 28. November 2011 E. 5.1 "Milchbärchen"), aber auch, dass "Teddy" ein mehrdeutiger Begriff und besonders als Koseform für den Vornamen Theodor geläufig ist, während der Spielzeugbär häufiger "Teddybär" genannt und nur umgangssprachlich als "Teddy" apostrophiert wird. Ob die Schokolademarke TEDDY daher ohne Umweg über die Fantasie eine Bärengestalt erwarten lässt, erscheint möglicherweise eher spekulativ. Die Frage kann aber vorliegend offen bleiben, da es sich erweist, dass die Beschwerde ohnehin abzuweisen ist.</w:t>
      </w:r>
    </w:p>
    <w:p>
      <w:r>
        <w:rPr>
          <w:b/>
        </w:rPr>
        <w:t>E. 6</w:t>
      </w:r>
    </w:p>
    <w:p>
      <w:r>
        <w:t>Eine hinreichende Zeichenähnlichkeit zwischen den Marken, aus der auf eine Verwechslungsgefahr für die Waren, für welche die Warengleichartigkeit bejaht wird, geschlossen werden könnte, ist nämlich selbst bei Annahme einer uneingeschränkten Kennzeichnungskraft der Widerspruchs­marke nicht festzustellen, wie dies auch die Vorinstanz korrekt darlegt. Die aus vier Buchstaben bestehende angefochtene Marke übernimmt zwar jeweils den ersten Buchstaben beider Silben der Widerspruchsmarke, nicht aber deren auffälliges, doppeltes "D" noch die nachfolgenden Vokale. Zudem schreibt sie die beiden Wörter TA und DI übereinander und versieht sie mit einem markanten Rahmen, der sich nach unten verengt. Die angefochtene Marke nimmt auch nicht am Sinngehalt der Widerspruchsmarke (vgl. E. 5) teil, sondern wird durch die Grossschreibung und Anordnung eher wie zwei unbestimmte Akronyme verstanden. Angesichts dieser augenfälligen Unterschiede kann nicht auf die entfernte Ähnlichkeit der Wortklänge abgestellt werden, auf die sich die Beschwerde beruft. Der Gesamteindruck der Marken ist vielmehr klar verschieden. Zwischen den Marken besteht damit keine Verwechslungsgefahr. Eine Rückweisung im Sinne des Eventualbegehrens erübrigt sich. Die Beschwerde ist abzuweisen.</w:t>
      </w:r>
    </w:p>
    <w:p>
      <w:r>
        <w:rPr>
          <w:b/>
        </w:rPr>
        <w:t>E. 7</w:t>
      </w:r>
    </w:p>
    <w:p>
      <w:r>
        <w:t>Bei diesem Ausgang des Verfahrens wird die Beschwerdeführerin kostenpflichtig (Art. 63 Abs. 1 VwVG). 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BGer 4A_161/2007 vom 18. Juli 2007 E. 1 "We make ideas work" mit Hinweis). Von diesem Erfahrungswert ist auch im vorliegenden Verfahren auszugehen. Es rechtfertigt sich daher, die Verfahrenskosten insgesamt auf Fr. 4'000.- festzulegen. Eine Parteientschädigung entfällt, nachdem die obsiegende Beschwerdegegnerin sich nicht am Beschwerdeverfahren beteiligt hat (Art. 64 Abs. 1 VwVG).</w:t>
      </w:r>
    </w:p>
    <w:p>
      <w:r>
        <w:rPr>
          <w:b/>
        </w:rPr>
        <w:t>E. 8</w:t>
      </w:r>
    </w:p>
    <w:p>
      <w:r>
        <w:t>Gegen dieses Urteil steht keine Beschwerde an das Bundesgericht offen (Art. 73 des Bundesgerichtsgesetzes vom 17. Juni 2005 [BGG, SR 173.110]). Es ist daher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