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B-3464/2020 vom 8. Juli 2022</w:t>
      </w:r>
    </w:p>
    <w:p>
      <w:r>
        <w:t>Bundesverwaltungsgericht, 2022-07-08, DE</w:t>
      </w:r>
    </w:p>
    <w:p>
      <w:r>
        <w:rPr>
          <w:b/>
        </w:rPr>
        <w:t xml:space="preserve">Quelle: </w:t>
      </w:r>
      <w:r>
        <w:t>https://mcp.opencaselaw.ch/entscheid/bvger_B-3464_2020</w:t>
      </w:r>
    </w:p>
    <w:p>
      <w:r>
        <w:t>FR: TAF B-3464/2020 du 8 juillet 2022</w:t>
      </w:r>
    </w:p>
    <w:p>
      <w:r>
        <w:t>IT: TAF B-3464/2020 del 8 luglio 2022</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Die Beschwerde wurde frist- und formgerecht erhoben (Art. 50 Abs. 1 Art, 52 Abs. 1 VwVG) und der Kostenvorschuss rechtzeitig geleistet (Art. 63 Abs. 4 VwVG). Auf die Beschwerde ist einzutreten.</w:t>
      </w:r>
    </w:p>
    <w:p>
      <w:r>
        <w:rPr>
          <w:b/>
        </w:rPr>
        <w:t>E. 2.1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441 E. 3.1 "Appenzeller Switzerland [fig.]/Appenzeller Natural [fig.]"; 128 III 96 E. 2c "Orfina"; Letzterer m.H.).</w:t>
      </w:r>
    </w:p>
    <w:p>
      <w:r>
        <w:rPr>
          <w:b/>
        </w:rPr>
        <w:t>E. 2.2</w:t>
      </w:r>
    </w:p>
    <w:p>
      <w:r>
        <w:t>Die Gleichartigkeit von Waren und Dienstleistungen beurteilt sich aufgrund der Registereinträge. Die Annahme gleichartiger Waren und Dienstleistungen ist indiziert,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B-1342/2018 vom 30. September 2020 E. 5.4 "APPLE/APPLE BOUTIQUE" m.H.).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(Urteile des BVGer B-6761/2017 vom 5. Juni 2019 E. 2.2 f. "Qnective und Qnective [fig.]/Q qnnect [fig.]" m.H.; B-5530/2013 vom 6. August 2014 E. 4.2 "MILLESIMA/MILLEZIMUS"; B-2269/2011 vom 9. März 2012 E. 6.5.1 "Bonewelding [fig.]"; Gallus Joller, in: Markenschutzgesetz, 2. Aufl., 2017, Art. 3, N. 336 ff.; je m.H.).</w:t>
      </w:r>
    </w:p>
    <w:p>
      <w:r>
        <w:rPr>
          <w:b/>
        </w:rPr>
        <w:t>E. 2.3</w:t>
      </w:r>
    </w:p>
    <w:p>
      <w:r>
        <w:t>Die Zeichenähnlichkeit beurteilt sich nach dem Gesamteindruck, den die Marken in der Erinnerung der angesprochenen Verkehrskreise hinterlassen. Diese werden die beiden Zeichen meist nicht gleichzeitig wahrnehmen. Vielmehr ist davon auszugehen, dass dem direkt wahrgenommenen einen Zeichen bloss das mehr oder weniger verschwommene Erinnerungsbild des früher wahrgenommenen anderen Zeichens gegenübersteht (BGE 121 III 377 E. 2a "Boss/Boks" m.H.). Dabei sind an die Verschiedenheit der Zeichen umso höhere Anforderungen zu stellen, je ähnlicher sich die von den Marken beanspruchten Waren und Dienstleistungen sind und umgekehrt. Ein besonders strenger Massstab ist bei Waren- oder Dienstleistungsidentität anzulegen (BGE 122 III 382 E. 3.a "Kamillosan/Kamillon, Kamillan"; 119 II 473 E. 2.c "Radion/Radiomat"; Urteil des BGer 4C.258/2004 E. 2.3 "Yello/Yellow Access AG").</w:t>
      </w:r>
    </w:p>
    <w:p>
      <w:r>
        <w:rPr>
          <w:b/>
        </w:rPr>
        <w:t>E. 2.4</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Gleichwohl können gemeinfreie Bestandteile den Gesamteindruck einer Marke mitbeeinflussen (BGE 122 III 382 E. 5b "Kamillosan/Kamillon, Kamillan").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2.5</w:t>
      </w:r>
    </w:p>
    <w:p>
      <w:r>
        <w:t>Bei reinen Wortmarken ist der Wortklang, das Schriftbild und gegebenenfalls der Sinngehalt massgebend (BGE 127 III 160 E. 2b/cc "Securitas/Securicall" m.H.; 121 III 377 E. 2b "Boss/Boks"; Eugen Marbach, in: Schweizerisches Immaterialgüter- und Wettbewerbsrecht, Bd. III/1, Markenrecht, 2. A. 2009, N. 872 ff.).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(BGE 122 III 382 E. 5.a "Kamillosan/Kamillon, Kamillan"; 119 II 473 E. 2.c "Radion/Radiomat"). Schliesslich ist zu beachten, dass der Wortanfang respektive Wortstamm und die Endung in der Regel grössere Beachtung finden als dazwischen geschobene, unbetonte weitere Buchstaben oder Silben (BGE 127 III 160 E. 2b/cc "Securitas/Securicall" m.H.; 122 III 382 E. 5a "Kamillosan/Kamillon, Kamillan").</w:t>
      </w:r>
    </w:p>
    <w:p>
      <w:r>
        <w:rPr>
          <w:b/>
        </w:rPr>
        <w:t>E. 2.6</w:t>
      </w:r>
    </w:p>
    <w:p>
      <w:r>
        <w:t>Ob eine Verwechslungsgefahr besteht, hängt auch vom Schutzumfang der Widerspruchsmarke ab (Urteil des BVGer B-5972/2017 vom 7. Juni 2019 E. 2.3 "Medical Park [fig.]/Medical Reha Park [fig.]" m.H.). Für schwächere Marken ist der geschützte Ähnlichkeitsbereich kleiner als für starke. Bei schwachen Marken genügen daher schon bescheidenere Abweichungen, um eine hinreichende Unterscheidbarkeit zu schaffen (BGE 122 III 382 E. 2a "Kamillosan/Kamillon, Kamillan").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gilt in der Regel schon als eingeschränkt, wenn sie nur einen Teil der vom Oberbegriff umfassten Waren oder Dienstleistungen beschreiben, für den sie eingetragen sind (Urteile des BVGer B-1190/2013 vom 3. Dezember 2013 "Ergo"; B-953/2013 vom 15. Oktober 2013 E. 2.4 "Cizello/Scielo"). Stark sind hingegen jene Marken, welche das Ergebnis einer schöpferischen Leistung oder langen Aufbauarbeit sind (BGE 122 III 382 E. 2a "Kamillosan/Kamillon, Kamillan"; Gallus Joller, in: Markenschutzgesetz, 2. Aufl., 2017, Art. 3, N. 78 f.; je m.H.).</w:t>
      </w:r>
    </w:p>
    <w:p>
      <w:r>
        <w:rPr>
          <w:b/>
        </w:rPr>
        <w:t>E. 2.7</w:t>
      </w:r>
    </w:p>
    <w:p>
      <w:r>
        <w:t>Was markenrechtlich gemeinfrei ist, steht definitionsgemäss dem allgemeinen Verkehr zur freien Verwendung zu. Hieraus ergibt sich eine Beschränkung des Schutzumfangs von Marken, welche einem im Gemeingut stehenden Wort ähnlich sind. Solche Marken können zwar gültig sein, doch erstreckt sich ihr Schutzumfang nicht auf das zum Gemeingut gehörende Element (Urteile des BVGer B-2711/2016 vom 12. Dezember 2016 E. 2.8 "The Body Shop" [fig.]/"TheFaceShop" [fig.]; B-3508/2008 vom 9. Februar 2009 E. 9.1 "KaSa K97 [fig.]/biocasa [fig.]"; B-8242/2010 vom 22. Mai 2012 E. 4.4 "Lombard Odier &amp; Cie./Lombard Network [fig.]"). Stimmen zwei Marken ausschliesslich in gemeinfreien Elementen überein, entfällt unter Vorbehalt einer allfälligen Verkehrsdurchsetzung eine rechtlich erhebliche Verwechslungsgefahr (Matthias Städeli/Simone Brauchbar Birkhäuser, in: David/Frick [Hrsg.], Markenschutzgesetz, Wappenschutzgesetz, Basler Kommentar, 2017, Art. 3 N. 72; Gallus Joller, in: Markenschutzgesetz, 2. Aufl., 2017, Art. 3 N 131 m.w.H.). Für die Markenprüfung ist die Frage, ob die verwendete geografische Bezeichnung eine Herkunftsangabe darstellt, einerseits für den Schutzausschlussgrund von Art. 2 lit. a MSchG relevant, soweit die Bezeichnung in Alleinstellung oder mit gemeinfreien Elementen hinterlegt ist, andererseits ist sie in Bezug auf die Beurteilung der Irreführung i.S.v. Art. 2 lit. c MSchG massgebend. Schliesslich ist die Frage auch entscheidend, wenn es um die Kennzeichnungskraft der Marke im Rahmen des Widerspruchsverfahrens geht (IGE, Richtlinien, Teil 5, Ziff. 8.2). Direkte Herkunftsangaben beschreiben die geografische Herkunft einer Ware bzw. Dienstleistung eindeutig, während indirekte Herkunftsangaben Zeichen sind, die eine Herkunftserwartung wecken, ohne den Herkunftsort der Waren und Dienstleistungen unmittelbar zu nennen (Urteile des BVGer B-6503/2014 vom 3. Juli 2015 E. 3.3 "LUXOR" und B-4710/2014 E. 3.1 "SHMESSE [fig.]/TGMESSE [fig.]").</w:t>
      </w:r>
    </w:p>
    <w:p>
      <w:r>
        <w:rPr>
          <w:b/>
        </w:rPr>
        <w:t>E. 2.8</w:t>
      </w:r>
    </w:p>
    <w:p>
      <w:r>
        <w:t>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(BGE 128 III 96 E. 2a "Orfina/Orfina"; Urteil des BVGer B-3012/2012 vom 5. Februar 2014 E. 3.2 "PALLAS/Pallas Seminare [fig.]"; je m.H.). Im Gemeingut stehende Markenelemente sind bei der Beurteilung der Verwechslungsgefahr nicht einfach auszublenden, sondern in Anrechnung ihrer für sich genommen geringen oder fehlenden Kennzeichnungskraft im Gesamteindruck der Marke zu berücksichtigen (Urteil des BVGer B-3706/2016 vom 20. Juli 2018 E. 2.7 "PUPA/Fashionpupa"; BGE 122 III 382 E. 5b "Kamillosan/Kamillon, Kamillan"; Gallus Joller, in: Markenschutzgesetz, 2. Aufl., 2017, Art. 3 N 131 f. m.H.). Stimmen zwei Marken ausschliesslich in gemeinfreien Elementen überein, begründet dies grundsätzlich keine Verwechslungsgefahr. Dies gilt dann nicht, wenn die Widerspruchsmarke aufgrund der Dauer ihres Gebrauchs, der Intensität der Werbung oder ihres Erfolgs eine erhöhte Verkehrsbekanntheit erlangt hat, an welcher auch die gemeinfreien Bestandteile teilnehmen (vgl. BGE 127 III 160 E. 2b/cc "Securitas/Securicall" sowie die Urteile des BVGer B-2711/2016 vom 12. Dezember 2016 E. 7.1 "The Body Shop/TheFaceShop [fig.]"; B-6173/2018 vom 30. April 2019 E. 6.1 "World Economic Forum [fig.]/Zurich Economic Forum [fig.]"; je m.H.).</w:t>
      </w:r>
    </w:p>
    <w:p>
      <w:r>
        <w:rPr>
          <w:b/>
        </w:rPr>
        <w:t>E. 3.1</w:t>
      </w:r>
    </w:p>
    <w:p>
      <w:r>
        <w:t>Vorab sind für die im Widerspruch stehenden Waren die massgeblichen Verkehrskreise und deren Aufmerksamkeitsgrad festzustellen. Hierfür ist vom Warenverzeichnis der Widerspruchsmarke auszugehen (Urteil des BVGer B-7202/2014 vom 1. September 2016 E. 5 "GEO/Geo influence"; Gallus Joller, in: Markenschutzgesetz, 2. Aufl., 2017, Art. 3 N. 51 m.H.). Eine erhöhte Aufmerksamkeit und eine reduzierte Verwechslungsgefahr werden in der Regel angenommen, wenn sich eine Marke nur an Fachleute wendet (Urteil des Bundesgerichts 4C.258/2004 vom 6. Oktober 2004 E. 2.3 "Yello/Yellow Access AG"; Urteile des Bundesverwaltungsgerichts B-6099/2013 vom 28. Mai 2015 E. 3.1 "CARPE DIEM/carpe noctem" und B-1398/2011 vom 25. September 2012 E. 5.4 "Etavis/Estavis 1993") oder es sich um Waren oder Dienstleistungen handelt, die nicht zum täglichen Bedarf gehören (B-38/2011 vom 29. April 2011 E. 7 ff. "IKB/ICB, ICB [fig.]"), während bei Massenartikeln des täglichen Bedarfs mit einer geringeren Aufmerksamkeit der Verkehrskreise zu rechnen ist (BGE 133 III 347 E. 4.1 "Trapezförmiger Verpackungsbehälter [3D]").</w:t>
      </w:r>
    </w:p>
    <w:p>
      <w:r>
        <w:rPr>
          <w:b/>
        </w:rPr>
        <w:t>E. 3.2</w:t>
      </w:r>
    </w:p>
    <w:p>
      <w:r>
        <w:t>Die Widerspruchsmarke wird für die eingangs (Ziff. B.) genannten Waren der Klasse 32 und 33 beansprucht, wobei es sich um Getränke handelt. Nach ständiger Rechtsprechung zählen insbesondere Lebensmittel wie alkoholfreie Getränke zu den Massenartikeln des täglichen Bedarfs (BGE 126 III 315 "Apiella"; Urteil des Bundesverwaltungsgerichts B-6099/2013 vom 28. Mai 2015 E. 3.2 " CARPE DIEM/carpe noctem"); das Gleiche gilt für Bier (Urteil B-6099/2013 E. 3.2 " CARPE DIEM/carpe noctem"; zustimmend und m.w.H. Gallus Joller, in: Michael G. Noth/Gregor Bühler/Florent Thouvenin [Hrsg.], Markenschutzgesetz [MSchG], 2. Aufl., 2017, Art. 3 N. 52). Die relevanten Waren richten sich an einen breiten Verkehrskreis, welcher einen geschwächten Aufmerksamkeitsgrad aufweist (vgl. Urteile B-6099/2013 E. 3.2 "CARPE DIEM/carpe noctem", B-7934/2007 vom 26. August 2009 E. 3.2 "Fructa/Fructaid", B-5120/2011 vom 17. August 2012 E. 5.2 "Bec de fin bec [fig.]/Fin Bec [fig.]", B-7352/2008 vom 17. Juni 2009 E. 6.2 "Torres/Torres Saracena"). Es ist daher von einem eher strengen Massstab bezüglich der Verwechslungsgefahr auszugehen (BGE 117 II 326 E. 4 "Valser").</w:t>
      </w:r>
    </w:p>
    <w:p>
      <w:r>
        <w:rPr>
          <w:b/>
        </w:rPr>
        <w:t>E. 4.1</w:t>
      </w:r>
    </w:p>
    <w:p>
      <w:r>
        <w:t>Die Vorinstanz geht in ihrem Entscheid davon aus, zwischen den nicht vom teilweisen Widerspruchsrückzug betroffenen Waren (eingangs Ziff. D) und den von der angefochtenen Marke beanspruchten Waren bestehe Warenidentität beziehungsweise ausgeprägte Gleichartigkeit (Verfügung, E. D. 11, S. 8). Die Beschwerdeführerin stellt sich in ihrer Beschwerde auf den Standpunkt, zumindest die "Getränke für Tiere" in Klasse 31 seien nicht als mit den Waren in Klasse 32 gleichartig zu beurteilen (Beschwerde, Ziff. 20 ff., S. 10 ff.). Der Beschwerdegegner setzte sich nicht mit der Frage der Gleichartigkeit der angefochtenen Waren auseinander (vgl. eingangs Ziff. H).</w:t>
      </w:r>
    </w:p>
    <w:p>
      <w:r>
        <w:rPr>
          <w:b/>
        </w:rPr>
        <w:t>E. 4.2</w:t>
      </w:r>
    </w:p>
    <w:p>
      <w:r>
        <w:t>Vorliegend besteht zwischen den in den Klassen 32 und 33 von beiden Zeichen beanspruchten Waren Identität mit der einzigen Ausnahme, dass die angefochtene Marke in Klasse 32 "Biere; alle vorgenannten Waren schweizerischer Herkunft", die Widerspruchsmarke in derselben Klasse "Biere aus dem Ägerital" beansprucht. Diese Waren sind damit identisch respektive bezüglich erwähnter Ausnahme stark gleichartig. In der Klasse 31 hat die Vorinstanz die Eintragung der angefochtenen Marke für die Waren "Getränke für Tiere; alle vorgenannten Waren schweizerischer Herkunft" widerrufen. Da der Beschwerdegegner keine selbständigen Anträge stellt, sind nur die genannten Waren vom Streitgegenstand des Beschwerdeverfahrens umfasst. Es ist zwar mit der Beschwerdeführerin davon auszugehen, dass alkoholhaltige Getränke für Tiere nicht bekömmlich sind; das gleiche gilt für Sirupe, Fruchtsäfte, kohlensäurehaltige Getränke etc. Wie sie selbst ausführt, kann aber etwa für die in Klasse 32 beanspruchten Waren "Alkoholfreie Getränke, ausgenommen Mineralwässer und kohlensäurehaltige Wässer" etwas Anderes gelten. Ebensowenig gilt dies etwa für Malz sowie Nebenprodukte der Bierherstellung wie etwa Trester. Zwar dürfte zwischen den meisten Produkten, welche sich primär an Menschen richten, keine direkte Austauschbarkeit mit solchen für Tiere bestehen; auch gelten Lebensmittel für Menschen untereinander sowie Nahrungsmittel und Getränke für Menschen grundsätzlich nicht als gleichartig (Gallus Joller, a.a.O., Art. 3 N 190, 289 je m.H.). Jedoch wurden zumindest in den Niederlanden, den USA sowie in Deutschland ein explizit auf Hunde ausgerichtetes (alkoholfreies) Bier auf den Markt gebracht (vgl. Hundebier, https://magazin.mydog365.de/ernaehrung/hundebier/, zuletzt abgerufen am 19. Mai 2022); ein ähnliches Produkt wird in Italien angeboten (vgl. "PAWSE", https://dapian.info/novita/77/abbiamo-creato-a-pawse-a-la-prima-birra-per-cani-realizzata-in-italia/, zuletzt abgerufen am 19. Mai 2022). Ebenso finden sich Hinweise, dass primär an Menschen gerichtetes (alkoholfreies) Malzbier zumindest in geringen Mengen oder in speziellen Situationen (Stärkungsmittel für kranke und rekonvaleszente Hunde sowie für Schlittenhunde und Jagdhunde bei starker Beanspruchung) auch an Hunde verabreicht wird (vgl. Malzbier für Hunde, https://dogco.de/malzbier-fuer-hunde/, zuletzt abgerufen am 19. Mai 2022). Im Übrigen werden Nebenprodukte der Bierherstellung zur Fütterung und Pflege von Tieren eingesetzt; so etwa Biertreber, Bierhefe und Biervorlauf für (Kabier-)Rinder (vgl. Kabier - Kabier, https://www.kabier.ch/tiere/kabier/, zuletzt abgerufen am 19. Mai 2022) und Biertreber sowie Bierhefe an Schweine (vgl. Weidesäuli - Kabier, https://www.kabier.ch/tiere/weidesaeuli/, zuletzt abgerufen am 19. Mai 2022), weiter Biertreber an Lämmer (vgl. Lamm - Kabier, https://www.kabier.ch/tiere/lamm/, zuletzt abgerufen am 19. Mai 2022).</w:t>
      </w:r>
    </w:p>
    <w:p>
      <w:r>
        <w:rPr>
          <w:b/>
        </w:rPr>
        <w:t>E. 4.3</w:t>
      </w:r>
    </w:p>
    <w:p>
      <w:r>
        <w:t>Insgesamt ist damit auch bei Getränken für Tiere - gerade angesichts des geringen Aufmerksamkeitsgrads der Durchschnittskonsumenten als vornehmlich angesprochener Zielgruppe der Endprodukte - zumindest von einer Ähnlichkeit zu den Waren der Klassen 32 und 33 auszugehen.</w:t>
      </w:r>
    </w:p>
    <w:p>
      <w:r>
        <w:rPr>
          <w:b/>
        </w:rPr>
        <w:t>E. 5.1</w:t>
      </w:r>
    </w:p>
    <w:p>
      <w:r>
        <w:t>Zu prüfen ist die Zeichenähnlichkeit. Es stehen sich die Wortmarke "Ägeribier" (Widerspruchsmarke) sowie die Wort-/Bildmarke "ÄGERIBIER (fig.)" (angefochtene Marke) gegenüber. Im Wortelement "Ägeribier" stimmen die beiden Marken damit phonetisch überein. Ein Unterschied, welcher sich daraus ergibt, dass die Widerspruchsmarke in Grossbuchstaben, die angefochtene Marke aber in Gross- und Kleinbuchstaben ausgeführt wird, ist kennzeichenmässig ohne Belang (Urteile des BVGer B-4728/2014 vom 12. Oktober 2016 E. 3.5.1 "WINSTON/Wilson" und B-317/2020 vom 13. September 2010 E. 6.3 "Lifetex/LIFETEA"). Die Zeichen stimmen damit auch auf der Ebene des Schriftbilds überein.</w:t>
      </w:r>
    </w:p>
    <w:p>
      <w:r>
        <w:rPr>
          <w:b/>
        </w:rPr>
        <w:t>E. 5.2</w:t>
      </w:r>
    </w:p>
    <w:p>
      <w:r>
        <w:t>Die angefochtene Marke weist zusätzlich grafische Elemente auf. Sie ist in einer teilweise leicht geschwungenen, fetten Schrift ausgeführt. Der Anfangsbuchstabe Ä wird dargestellt durch ein A und einem kleineren, nach links gekippten E, welches sich unmittelbar über diesem befindet und an eine stilisierte Krone erinnert. Andere auffällige grafische Elemente sind nicht erkennbar. Ebenso evoziert die grafische Ausgestaltung keine Assoziationen, welche zu einem zusätzlichen Sinngehaltselement führen würde. Insgesamt kommt dem Element der grafischen Stilisierung höchstens durchschnittliche Kennzeichnungskraft zu.</w:t>
      </w:r>
    </w:p>
    <w:p>
      <w:r>
        <w:rPr>
          <w:b/>
        </w:rPr>
        <w:t>E. 5.3</w:t>
      </w:r>
    </w:p>
    <w:p>
      <w:r>
        <w:t>Damit dürften sich die massgeblichen Verkehrskreise bei beiden Zeichen am Wortelement ("Ägeribier") orientieren, welches sich wiederum aus den Elementen "Ägeri" und "Bier" zusammensetzt. Bei Bier handelt es sich um das Getränk, "Ägeri" ist zweifelsohne ein Hinweis auf das Gebiet des Ägeritals am gleichnamigen Ägerisee mit den beiden Gemeinden Ober- und Unterägeri im Kanton Zug. Die beiden Zeichen weisen folglich den gleichen Sinngehalt auf. Somit ist die Zeichenähnlichkeit insgesamt zu bejahen.</w:t>
      </w:r>
    </w:p>
    <w:p>
      <w:r>
        <w:rPr>
          <w:b/>
        </w:rPr>
        <w:t>E. 6.1</w:t>
      </w:r>
    </w:p>
    <w:p>
      <w:r>
        <w:t>Daraus ergibt sich für den Schutzumfang der Widerspruchsmarke, was folgt: Bei Bier handelt es sich unstrittig um einen Hinweis auf einen Teil der in Klasse 32 beanspruchten Waren selbst, womit dieser als Waren- und Gattungsbezeichnung zum nicht unterscheidungskräftigen, unmittelbar beschreibenden Gemeingut gehört (siehe E. 2.6 vorstehend und vgl. die Kasuistik in Matthias Städeli/Simone Brauchbar Birkhäuser, a.a.O., Art. 2 N. 85 ff.). Da es jedem Anbieter möglich sein muss, auf die geografische Herkunft seiner Waren oder Dienstleistungen hinzuweisen, sind direkte Herkunftsangaben freihaltebedürftig. (IGE, Richtlinien, Teil 5, Ziff. 8.5.1.2). Nebst Sachbezeichnungen sind direkte Angaben über die geografische Herkunft der Ware oder Dienstleistung wie der Name von Ländern, Städten, Strassen, Plätzen, Gebäuden, Flüssen, Seen, Gebirgen, Regionen etc. aufgrund ihres beschreibenden Charakters und des Freihaltebedürfnisses, vorbehältlich Verkehrsdurchsetzung oder des Vorliegens einer geografischen Marke als Gemeingut vom Markenschutz ausgeschlossen (vgl. E. 2.7). Dabei geht die Rechtsprechung vom Erfahrungssatz aus, dass eine geografische Angabe in einer Marke von den Abnehmern für gewöhnlich als Hinweis auf die Herkunft der darunter angebotenen Waren und Dienstleistungen verstanden wird (vgl. BGE 135 III 416, E. 2.2 "CALVI [fig.]; Matthias Städeli/Simone Brauchbar Birkhäuser, a.a.O., Art. 2 N. 135 f. m.H.). Das Freihaltebedürfnis gilt nicht nur, soweit geografische Bezeichnungen von den massgebenden Verkehrskreisen aktuell mit der betreffenden Waren- oder Dienstleistungsgruppe in Verbindung gebracht werden können, sondern auch, soweit sie künftig von den betroffenen Unternehmen angesichts der künftigen wirtschaftlichen Entwicklungen als Herkunftsangabe für diese verwendet werden könnten. Mit anderen Worten ist eine geografische Bezeichnung freihaltebedürftig, solange nicht ausgeschlossen werden kann, dass sich weitere Produzenten oder sonstige Anbieter im entsprechenden Gebiet niederlassen (IGE, Richtlinien, Teil 5, Ziff. 8.5.1.2 mit Hinweis auf Urteil des BGer 4A_6/2013 vom 16. April 2013 E. 2.2 "Wilson"). Gestützt auf diese Grundsätze waren Eintragungsgesuche zurückzuweisen, soweit das Warenverzeichnis einer Marke mit einer Herkunftsangabe nicht auf die betroffene Herkunft eingeschränkt war. Etwas anderes galt bei Vorliegen von Ausnahmekriterien (vgl. BGE 132 III 770 E. 2.1 "Colorado [fig.]"; BGE 128 III 454 E. 2.1 "Yukon"; Urteil des BVGer B-3234/2017 vom 2. September 2019 E. 6.2.1 "Weissenstein"), insbesondere wenn es sich um einen unbekannten Ort handelte oder dieser als Produktionsort nicht in Frage kam. Seit Inkrafttreten der Revision von Teil 5 der Richtlinien in Markensachen des IGE am 1. März 2022 nimmt das IGE einen weitgehenden Verzicht auf die geografische Einschränkung bei einfachen Herkunftsangaben vor (vgl. IGE, Ergänzende Erläuterungen zu den Richtlinien vom 1. März 2022 [zit. Ergänzende Erläuterungen], www.ige.ch/de/uebersicht-dienstleistungen/dokumente-und-links/marken, abgerufen am 29. Juni 2022). Die Praxislockerung beruht auf dem Ansatz, dass eine Marke im Zeitpunkt ihrer Eintragung im Register nicht als irreführend bewertet wird, solange ihr korrekter Gebrauch im Verkehr möglich ist und nicht eine gesetzliche oder staatsvertragliche Verpflichtung zur Einschränkung des Waren- und Dienstleistungsverzeichnisses besteht (IGE, Ergänzende Erläuterungen, Ziff. II.1 und Ziff. III; vgl. zur Irreführungsgefahr IGE, Richtlinien, Teil 5, Ziff. 5.2 und zu völkerrechtlich resp. spezialgesetzlich geschützten Herkunftsangaben IGE, Richtlinien, Teil 5, Ziff. 8.3). Die Änderung der Einschränkungspraxis tangiert den Schutzausschlussgrund der Zugehörigkeit zum Gemeingut nicht. Herkunftsangaben und geografische Angaben in Alleinstellung bzw. mit weiteren nicht unterscheidungskräftigen Elementen bleiben von der Markeneintragung ausgeschlossen (IGE, Ergänzende Erläuterungen, Ziff. II.6). Bei "Ägeri" handelt es sich um eine direkte Herkunftsangabe (siehe E. 5.3). Dass die vollen Namen der dort gelegenen politischen Gemeinden Ober- und Unterägeri lauten, vermag entgegen der Ansicht der Vorinstanz nichts daran zu ändern, dass das Gebiet den meisten Abnehmern bekannt sein dürfte, womit von einer schweizweiten Bekanntheit auszugehen ist (vgl. für weniger bekannte geografische Angaben Urteile des BVGer B-5024/2013 vom 18. Februar 2015 E. 5.2 "Strela"; B-3234/2017 E. 6.3.6 "WEISSENSTEIN"). Eine Irreführung nach dem Gesagten durch die Verwendung des Wortelements "Ägeri" ist weder geltend gemacht noch ersichtlich, gegen die Möglichkeit eines korrekten Verkehrsgebrauchs spricht nichts.</w:t>
      </w:r>
    </w:p>
    <w:p>
      <w:r>
        <w:rPr>
          <w:b/>
        </w:rPr>
        <w:t>E. 6.2</w:t>
      </w:r>
    </w:p>
    <w:p>
      <w:r>
        <w:t>Die streitgegenständlichen Marken der zwei in Ober- resp. Unterägeri ZG ansässigen Anbieter stimmen folglich in den gemeinfreien Elementen "Ägeri" und "Bier" überein. Die Widerspruchsmarke als Wortmarke enthält keine weiteren Elemente, sondern verbindet einzig die beiden gemeinfreien Elemente in der sprachlich einzig in Frage kommenden Variante. Eine Verkehrsdurchsetzung wurde nicht geltend gemacht. Somit entfällt jedenfalls eine rechtlich erhebliche Verwechslungsgefahr (siehe die Hinweise in E. 2.7 und E. 2.8 vorstehend).</w:t>
      </w:r>
    </w:p>
    <w:p>
      <w:r>
        <w:rPr>
          <w:b/>
        </w:rPr>
        <w:t>E. 7</w:t>
      </w:r>
    </w:p>
    <w:p>
      <w:r>
        <w:t>Demgemäss ist die Beschwerde im Hauptantrag gutzuheissen. Die teilweise Gutheissung des Widerspruchs Nr. 16161 in Dispositivziffern 2 und 3 der angefochtenen Verfügung ist aufzuheben und die Vorinstanz in Anwendung von Art. 61 Abs. 1 VwVG anzuweisen, die Eintragung der Schweizer Marke Nr. 713'982 "Ägeribier (fig.)" für alle beanspruchten Waren in den Klassen 31-33 einzutragen. Der Eventualantrag der Beschwerdeführerin, die Rückweisung der Sache an die Vorinstanz, ist damit gegenstandslos geworden, weshalb auf die Ausführungen zu einer allfälligen Verletzung des rechtlichen Gehörs nicht einzugehen ist.</w:t>
      </w:r>
    </w:p>
    <w:p>
      <w:r>
        <w:rPr>
          <w:b/>
        </w:rPr>
        <w:t>E. 8.1</w:t>
      </w:r>
    </w:p>
    <w:p>
      <w:r>
        <w:t>Bei diesem Ausgang des Verfahrens sind die Kosten der unterliegenden Partei aufzuerlegen (Art. 63 Abs. 1 VwVG); die Vorinstanz hat keine Kosten zu tragen (Art. 63 Abs. 2 VwVG). Vorliegend hat der Beschwerdegegner im Beschwerdeverfahren keine selbständigen Anträge gestellt, wohl aber im Verfahren vor der Vorinstanz. Obsiegen und Unterliegen richten sich grundsätzlich nach den von der beschwerdeführenden Partei gestellten Anträgen, ohne Rücksicht auf die Anträge der Gegenpartei.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(BGer 2C_753/2013 vom 10. Mai 2014 E. 2.4 m.H.). Nach dem Gesagten hat der Beschwerdegegner als unterliegend zu gelten.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Der Beschwerdegegner hat diese innert 30 Tagen ab Eröffnung dieses Urteils zu Gunsten der Gerichtskasse zu überweisen. Der Beschwerdeführerin ist der in dieser Höhe geleistete Kostenvorschuss zurückzuerstatten.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Sie ist anhand der eingereichten Kostennote oder, sofern keine solche eingereicht wird, aufgrund der Akten festzulegen (Art. 8 i.V.m. Art. 14 VGKE). Der Beschwerdegegner hat keine Kostennote eingereicht. Anhand des aktenkundigen durchschnittlichen notwendigen Aufwands bei einmaligem Schriftenwechsel und der sich stellenden Rechtsfragen erscheint eine Parteientschädigung zugunsten der Beschwerdeführerin von Fr. 4'000.- (einschliesslich Mehrwertsteuer, Art. 9 Abs. 1 Bst. c VGKE) angemessen. Die vorerwähnten (E. 8.1) Grundsätze betreffend Kostenauflage gelten auch in Bezug auf die Parteientschädigung. Wohl sieht Art. 64 Abs. 3 VwVG ausdrücklich vor, dass die unterliegende Partei nur dann zur Bezahlung einer Parteientschädigung angehalten werden kann, wenn sie sich mit selbständigen Begehren am Verfahren beteiligt hat. Dies kann jedoch nicht bezwecken, der im Beschwerdeverfahren unterliegenden Hauptpartei die Möglichkeit zu verschaffen, die prozessuale Entschädigungspflicht auf die Behörden zu überwälzen. Es darf daher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(BGer 2C_753/2013 vom 10. Mai 2014 E. 2.5 m.H.). Damit ist die Pflicht zur Bezahlung der Parteientschädigung an die Beschwerdeführerin dem Beschwerdegegner aufzuerlegen.</w:t>
      </w:r>
    </w:p>
    <w:p>
      <w:r>
        <w:rPr>
          <w:b/>
        </w:rPr>
        <w:t>E. 8.3</w:t>
      </w:r>
    </w:p>
    <w:p>
      <w:r>
        <w:t>Aufgrund des Verfahrensausgangs vor Bundesverwaltungsgericht gilt der Beschwerdegegner nunmehr auch in Bezug auf das vorinstanzliche Verfahren als unterliegende Partei. Nach Art. 34 MSchG bestimmt die Vorinstanz, ob und in welchem Masse die Kosten der obsiegenden Partei von der unterliegenden zu ersetzen sind. Die Vorinstanz bestimmte in Dispositivziffer 6 der angefochtenen Verfügung, dass die Widerspruchsgebühr von Fr. 800.- bei der Vorinstanz verbleibt. Diese wurde vom Widersprechenden/Beschwerdegegner vorgeleistet. In Dispositivziffer 7 der angefochtenen Verfügung wurde die Widerspruchsgegnerin/Beschwerdeführerin verpflichtet, diesem die hälftige Widerspruchsgebühr von Fr. 400.- zu ersetzen. Diese Ziffer ist aufzuheben und der Beschwerdegegner zu verpflichten, der Beschwerdeführerin dieses Betreffnis zu ersetzen. Die Vorinstanz sah in Dispositivziffer 6 des angefochtenen Entscheids davon ab, eine Parteientschädigung zuzusprechen. Der nunmehr obsiegenden Beschwerdeführerin/Widerspruchsgegnerin steht auch für das vorinstanzliche Verfahren eine Parteientschädigung zu. Praxisgemäss wird einer vertretenen widersprechenden Partei bei Obsiegen pro angeordnetem Schriftenwechsel eine Parteientschädigung von Fr. 1'200.- zugesprochen (IGE, Richtlinien, Teil 1, Ziff. 7.3.2.2). Dispositivziffer 6 der angefochtenen Verfügung ist deshalb aufzuheben und dadurch zu ersetzen, dass der Beschwerdegegner die Beschwerdeführerin für das erstinstanzliche Verfahren mit Fr. 2'400.- zu entschädigen hat.</w:t>
      </w:r>
    </w:p>
    <w:p>
      <w:r>
        <w:rPr>
          <w:b/>
        </w:rPr>
        <w:t>E. 9</w:t>
      </w:r>
    </w:p>
    <w:p>
      <w:r>
        <w:t>Gegen dieses Urteil steht keine Beschwerde an das Bundesgericht offen (Art. 73 des Bundesgerichtsgesetzes vom 17. Juni 2005 [BGG, SR 173.110]). Es erwächst damit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