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B-3405/2007 vom 3. Juli 2008</w:t>
      </w:r>
    </w:p>
    <w:p>
      <w:r>
        <w:t>Bundesverwaltungsgericht, 2008-07-03, DE</w:t>
      </w:r>
    </w:p>
    <w:p>
      <w:r>
        <w:rPr>
          <w:b/>
        </w:rPr>
        <w:t xml:space="preserve">Quelle: </w:t>
      </w:r>
      <w:r>
        <w:t>https://mcp.opencaselaw.ch/entscheid/bvger_B-3405_2007</w:t>
      </w:r>
    </w:p>
    <w:p>
      <w:r>
        <w:t>FR: TAF B-3405/2007 du 3 juillet 2008</w:t>
      </w:r>
    </w:p>
    <w:p>
      <w:r>
        <w:t>IT: TAF B-3405/2007 del 3 luglio 2008</w:t>
      </w:r>
    </w:p>
    <w:p>
      <w:pPr>
        <w:pStyle w:val="Heading2"/>
      </w:pPr>
      <w:r>
        <w:t>Regeste</w:t>
      </w:r>
    </w:p>
    <w:p>
      <w:r>
        <w:t>Milch, Milchprodukte, Speiseöle und -fette</w:t>
      </w:r>
    </w:p>
    <w:p>
      <w:pPr>
        <w:pStyle w:val="Heading2"/>
      </w:pPr>
      <w:r>
        <w:t>Erwägungen</w:t>
      </w:r>
    </w:p>
    <w:p>
      <w:r>
        <w:rPr>
          <w:b/>
        </w:rPr>
        <w:t>E. 1</w:t>
      </w:r>
    </w:p>
    <w:p>
      <w:r>
        <w:t>Der Entscheid der Regionalen Rekurskommission Nr. 2 für die Milchkontingentierung vom 16. März 2007 (versandt am 17. April 2007) stellt eine Verfügung im Sinne von Art. 5 Abs. 2 des Bundesgesetzes über das Verwaltungsverfahren vom 20. Dezember 1968 dar (VwVG, SR 172.021). Das Bundesverwaltungsgericht, welches gemäss Art. 31 des Verwaltungsgerichtsgesetzes vom 17. Juni 2005 (VGG, SR 132.32) als Beschwerdeinstanz Beschwerden gegen Verfügungen nach Art. 5 VwVG beurteilt, ist nach Art. 33 Bst. i VGG in Verbindung mit Art. 167 Abs. 1 (in der revidierten Fassung in Kraft seit 1. Januar 2007) des Landwirtschaftsgesetzes vom 29. April 1998 (LwG, SR 910.1) für die Behandlung der vorliegenden Streitsache zuständig. Das beschwerdeführende Amt ist gemäss Art. 167 Abs. 2 LwG zur Beschwerdeführung legitimiert. Die Eingabefrist sowie die Anforderungen an Form und Inhalt der Beschwerdeschrift sind gewahrt (Art. 50 und Art. 52 Abs. 1 VwVG i.V.m. Art. 37 VGG) und die übrigen Sachurteilsvoraussetzungen liegen vor (Art. 47 ff. VwVG i. V. m. Art. 37 VGG). Auf die Beschwerde ist somit einzutreten.</w:t>
      </w:r>
    </w:p>
    <w:p>
      <w:r>
        <w:rPr>
          <w:b/>
        </w:rPr>
        <w:t>E. 2.1</w:t>
      </w:r>
    </w:p>
    <w:p>
      <w:r>
        <w:t>Am 1. Januar 1999 trat das Landwirtschaftsgesetz vom 29. April 1998 in Kraft, mit Ausnahme insbesondere der Art. 28-45 LwG betreffend die Milchwirtschaft. Die Bestimmungen über die Milchwirtschaft wurden am 1. Mai 1999 in Kraft gesetzt. Nach Art. 30 Abs. 1 LwG beschränkt der Bundesrat die Produktion von Verkehrsmilch, indem er für die einzelnen Produzenten und Produzentinnen Kontingente vorsieht. Der Bundesrat regelt, wieweit Kontingente veränderten Betriebsverhältnissen angepasst werden können und er kann vorsehen, dass Kontingente unter Produzenten und Produzentinnen übertragen werden können. Hierfür legt er die Voraussetzungen fest. Er kann Kontingente, die nicht genutzt werden, von der Übertragung ausschliessen und für die übertragenen Kontingente Kürzungen vorsehen (Art. 32 Abs. 1 und 2 LwG). Für flächenunabhängige Kontingentsübertragungen gilt nach Art. 32 Abs. 3 Bst. b LwG die Einschränkung, dass keine Kontingente vom Berggebiet ins Talgebiet übertragen werden dürfen. Der Bundesrat kann aber Ausnahmen vorsehen. Weiter legt Art. 34 LwG fest, dass den Produzenten und Produzentinnen ausserhalb des Berggebiets für Tiere, die sie aus dem Berggebiet zukaufen, für befristete Zeit Zusatzkontingente zugeteilt werden.</w:t>
      </w:r>
    </w:p>
    <w:p>
      <w:r>
        <w:rPr>
          <w:b/>
        </w:rPr>
        <w:t>E. 2.2</w:t>
      </w:r>
    </w:p>
    <w:p>
      <w:r>
        <w:t>Gestützt auf Art. 30 Abs. 1, Art. 32 Abs. 1 und 2, Art. 36 Abs. 2 sowie Art. 177 Abs. 1 LwG hat der Bundesrat die Milchkontingentierungsverordnung vom 7. Dezember 1998 (MKV, SR 916.350.1) erlassen, welche ebenfalls am 1. Mai 1999 in Kraft getreten ist. Nach Art. 1 Abs. 1 MKV ist das Kontingent die Menge Milch, die eine Produzentin oder ein Produzent in einem Milchjahr (1. Mai - 30. April) vermarkten darf.</w:t>
      </w:r>
    </w:p>
    <w:p>
      <w:r>
        <w:rPr>
          <w:b/>
        </w:rPr>
        <w:t>E. 2.2.1</w:t>
      </w:r>
    </w:p>
    <w:p>
      <w:r>
        <w:t>Art. 11 MKV regelt die Zuteilung eines Zusatzkontingents an Produzentinnen und Produzenten ausserhalb des Berggebiets, die für die Milchproduktion bestimmte weibliche Zuchttiere aus dem Berggebiet kaufen. Die Bestimmung erfuhr verschiedene Änderungen.</w:t>
      </w:r>
    </w:p>
    <w:p>
      <w:r>
        <w:rPr>
          <w:b/>
        </w:rPr>
        <w:t>E. 2.2.2</w:t>
      </w:r>
    </w:p>
    <w:p>
      <w:r>
        <w:t>Bei einer Rechtsänderung finden bezüglich des materiellen Rechts grundsätzlich diejenigen Rechtssätze Anwendung, die bei der Erfüllung des rechtlich zu ordnenden oder zu Rechtsfolgen führenden Tatbestands Geltung haben oder hatten (René A. Rhinow/Beat Krähenmann, Schweizerische Verwaltungsrechtsprechung, Ergänzungsband, Basel 1990, Nr. 15 B I; BGE 128 V 315 E. 1 e/aa). Der Gesetzgeber kann eine davon abweichende übergangsrechtliche Regelung treffen, was er indessen im vorliegenden Fall - soweit hier interessierend - nicht getan hat.</w:t>
      </w:r>
    </w:p>
    <w:p>
      <w:r>
        <w:rPr>
          <w:b/>
        </w:rPr>
        <w:t>E. 2.2.3</w:t>
      </w:r>
    </w:p>
    <w:p>
      <w:r>
        <w:t>Umstritten ist vorliegend die Erteilung eines Zusatzkontingents aufgrund eines am 6. Mai 2006 getätigten und gleichentags gemeldeten Zukaufs. Die Administrationsstellen setzen grundsätzlich Kontingente per 1. Mai aufgrund des bis dahin vorliegenden Tatbestands und mit Wirkung für die darauf folgenden 12 Monate fest. Daher ist bei Kontingentsänderungen in der Regel jenes Recht anzuwenden, das während der Periode der kontingentsrechtlichen Auswirkungen des jeweiligen Tatbestands gilt (vgl. Urteil des Bundesverwaltungsgerichts B-2148/2006 vom 4. April 2007, E. 3.2; Entscheid der Rekurskommission EVD 94/8B-027 vom 24. Juni 1994, veröffentlicht in VPB 59.94, E. 3.4). Vorliegend ist daher auf das Recht abzustellen, das für die Erteilung eines Zusatzkontingents für das Milchjahr 2007/2008 galt. Art. 11 MKV erfuhr während der vorliegend massgeblichen Periode der kontingentsrechtlichen Auswirkungen, d.h. während des Milchjahrs 2007/2008, eine weitere Änderung. Diese am 1. Januar 2008 in Kraft getretene weitere Änderung bezieht sich indessen auf Zusatzkontingente für das Milchjahr 2008/2009 und hat daher vorliegend unbeachtet zu bleiben.</w:t>
      </w:r>
    </w:p>
    <w:p>
      <w:r>
        <w:rPr>
          <w:b/>
        </w:rPr>
        <w:t>E. 2.2.4</w:t>
      </w:r>
    </w:p>
    <w:p>
      <w:r>
        <w:t>Gemäss Art. 11 Abs. 1 Bst. a-d MKV (in der entsprechend anwendbaren Fassung) müssen zusatzkontingentsberechtigte Tiere folgende Anforderungen erfüllen: Sie sind unmittelbar vor dem Kauf während mindestens 18 Monaten ununterbrochen im Berggebiet gehalten worden; sie sind beim Eintreffen auf dem Betrieb der Käuferin oder des Käufers höchstens fünf Jahre (60 Monate) alt; sie sind beim Eintreffen auf dem Betrieb der Käuferin oder des Käufers mindestens vier Monate trächtig oder hatten vor weniger als zwei Monaten gekalbt. Art. 11 Abs. 2 und 2bis MKV regelt das Verfahren der Gesuchstellung. Das Zusatzkontingent beträgt entsprechend Art. 11 Abs. 3 MKV pro gekauftes Tier 2'000 kg. Die Administrationsstelle teilt das Zusatzkontingent für das dem Zukauf folgende Milchjahr zu (Art. 11 Abs. 4 MKV). Des Weiteren müssen Produzentinnen und Produzenten, die ein Zusatzkontingent zugeteilt erhalten, die Tiere aus dem Berggebiet nach dem Kauf mindestens sechs Monate auf ihrem Betrieb halten (Art. 11 Abs. 5 MKV).</w:t>
      </w:r>
    </w:p>
    <w:p>
      <w:r>
        <w:rPr>
          <w:b/>
        </w:rPr>
        <w:t>E. 2.2.5</w:t>
      </w:r>
    </w:p>
    <w:p>
      <w:r>
        <w:t>Das Bundesamt für Landwirtschaft hat zur MKV Weisungen und Erläuterungen erlassen. Mangels Relevanz für die Entscheidfindung im vorliegenden Fall ist nicht weiter darauf einzugehen.</w:t>
      </w:r>
    </w:p>
    <w:p>
      <w:r>
        <w:rPr>
          <w:b/>
        </w:rPr>
        <w:t>E. 2.3</w:t>
      </w:r>
    </w:p>
    <w:p>
      <w:r>
        <w:t>Gemäss Art. 1 der Verordnung vom 7. Dezember 1998 über den landwirtschaftlichen Produktionskataster und die Ausscheidung von Zonen (Landwirtschaftliche Zonen-Verordnung, SR 912.1) wird die landwirtschaftlich genutzte Fläche im landwirtschaftlichen Produktionskataster in Gebiete und Zonen unterteilt. Das Berggebiet umfasst dabei die Bergzonen I-IV, das Talgebiet, die Hügelzone sowie die Talzone. Für Massnahmen, die eine Einteilung der Betriebe nach Tal- oder Berggebiet verlangen, werden die Betriebe jenem Gebiet zugeteilt, in welchem der Hauptteil der landwirtschaftlichen Nutzfläche liegt (Art. 2 Abs. 5 Landwirtschaftliche Zonen-Verordnung).</w:t>
      </w:r>
    </w:p>
    <w:p>
      <w:r>
        <w:rPr>
          <w:b/>
        </w:rPr>
        <w:t>E. 3.1</w:t>
      </w:r>
    </w:p>
    <w:p>
      <w:r>
        <w:t>Das beschwerdeführende Amt macht geltend, die Voraussetzungen für die Erteilung eines Zusatzkontingents gemäss Art. 11 MKV seien beim Beschwerdegegner nicht gegeben, denn der Betrieb von Y._______ sei in der massgebenden Periode (2004-2006) nicht dem Berggebiet zugeteilt gewesen. Zum Beweis werden die entsprechenden Angaben aus dem AGIS zum betreffenden Betrieb eingereicht. Weder der Beschwerdegegner noch die Vorinstanz bestreiten diese Gebietszuteilung.</w:t>
      </w:r>
    </w:p>
    <w:p>
      <w:r>
        <w:rPr>
          <w:b/>
        </w:rPr>
        <w:t>E. 3.2</w:t>
      </w:r>
    </w:p>
    <w:p>
      <w:r>
        <w:t>Im Beschwerdeverfahren vor Bundesverwaltungsgericht dürfen im Rahmen des Streitgegenstands neue Tatsachen, neue Beweismittel sowie eine neue rechtliche Begründung vorgebracht werden. Das Bundesverwaltungsgericht legt seinem Entscheid denjenigen Sachverhalt zugrunde, welcher sich im Zeitpunkt der Entscheidung verwirklicht hat und bewiesen ist (Urteil des Bundesverwaltungsgerichts B-1296/2006 vom 13. Dezember 2007, E. 3).</w:t>
      </w:r>
    </w:p>
    <w:p>
      <w:r>
        <w:rPr>
          <w:b/>
        </w:rPr>
        <w:t>E. 3.3</w:t>
      </w:r>
    </w:p>
    <w:p>
      <w:r>
        <w:t>Aufgrund der vom beschwerdeführenden Amt eingereichten Auszüge aus dem AGIS ist der Betrieb von Y._______ eindeutig dem Talgebiet zugeteilt. Dem beschwerdeführenden Amt ist unter diesen Voraussetzungen zuzustimmen, dass die Bedingungen für die Erteilung eines Zusatzkontingents gemäss Art. 11 MKV vorliegend nicht erfüllt sind.</w:t>
      </w:r>
    </w:p>
    <w:p>
      <w:r>
        <w:rPr>
          <w:b/>
        </w:rPr>
        <w:t>E. 4.1</w:t>
      </w:r>
    </w:p>
    <w:p>
      <w:r>
        <w:t>Die Vorinstanz verweist des Weiteren auf die EDV-gestützte Gesuchsprüfung, welche vollumfänglich vom BLW administriert werde, den beschränkten Datenzugang Dritter sowie die ihres Erachtens falsche Begründung in der Verfügung der Erstinstanz. Sie ist der Ansicht, die Gesamtumstände dürften dem Beschwerdegegner nicht zum Nachteil gelangen und beruft sich dazu auf den Grundsatz von Treu und Glauben.</w:t>
      </w:r>
    </w:p>
    <w:p>
      <w:r>
        <w:rPr>
          <w:b/>
        </w:rPr>
        <w:t>E. 4.2</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Vertrauensschutz setzt ein Vertrauensverhältnis voraus, das weiter geht als das von der Rechtssicherheit geschützte allgemeine Vertrauen in die Beständigkeit der Rechtsordnung. Vorausgesetzt ist weiter, dass die Person, die sich auf Vertrauensschutz beruft, berechtigterweise auf diese Grundlage vertrauen durfte und gestützt darauf nachteilige Dispositionen getroffen hat, die sie nicht mehr rückgängig machen kann. Andererseits scheitert die Berufung auf Treu und Glauben dann, wenn ihr überwiegende öffentliche Interessen gegenüberstehen (BGE 129 I 161, E. 4 m.w.H.; Ulrich Häfelin/Georg Müller/Felix Uhlmann, Allgemeines Verwaltungsrecht, 5. Aufl., Zürich/Basel/Genf 2006, Rz. 627 ff.; Christoph Rohner, in: Die schweizerische Bundesverfassung, St. Galler Kommentar, 2. Aufl., Zürich/St. Gallen 2008, N. 40 und 51 f. zu Art. 9 BV.)</w:t>
      </w:r>
    </w:p>
    <w:p>
      <w:r>
        <w:rPr>
          <w:b/>
        </w:rPr>
        <w:t>E. 4.3</w:t>
      </w:r>
    </w:p>
    <w:p>
      <w:r>
        <w:t>Vorliegend fehlt es bereits an einer genügenden Vertrauensgrundlage. Die Vorinstanz beruft sich darauf, dass der Beschwerdegegner nicht gewusst habe und auch nicht habe wissen können, dass der Betrieb von Y._______ nicht dem Berggebiet zugeteilt sei. Dem Beschwerdegegner selber ist hingegen von Seiten der Behörden gar nie eine konkrete Zusicherung über die Gebietszuteilung des Betriebs von Y._______ gemacht worden. Vom Beschwerdegegner liegen diesbezüglich auch keine Angaben vor, weil er sich trotz Aufforderung im Beschwerdeverfahren vor dem Bundesverwaltungsgericht nicht vernehmen liess. Der blosse Umstand, dass der Beschwerdegegner den jeweiligen Verfügungen betreffend (Nicht-)Erteilung eines Zusatzkontingents keinen Hinweis auf die Gebietszuteilung des Betriebs von Y._______ entnehmen kann und konnte, stellt indessen keine Vertrauensgrundlage dar. Dies gilt umso mehr, als diese Verfügungen weder eine Zusicherung der Gebietszuteilung bezwecken noch tatsächlich eine entsprechende Aussage enthalten. Mit der Vorinstanz ist allerdings festzustellen, dass der erstinstanzliche Entscheid eine Standardbegründung verwendet, die nicht auf den betroffenen Fall eingeht und demzufolge auch falsch ist. Dies führt jedoch aus den vorstehenden Gründen nicht dazu, dass eine Vertrauensgrundlage bejaht werden kann. Hingegen ist dieser Umstand bei der Kostenauferlegung zu berücksichtigen (E. 6.1).</w:t>
      </w:r>
    </w:p>
    <w:p>
      <w:r>
        <w:rPr>
          <w:b/>
        </w:rPr>
        <w:t>E. 4.4</w:t>
      </w:r>
    </w:p>
    <w:p>
      <w:r>
        <w:t>Der Beschwerdegegner kann somit aus Treu und Glauben keinen Anspruch für sich ableiten, es sei ihm ein Zusatzkontingent zu erteilen.</w:t>
      </w:r>
    </w:p>
    <w:p>
      <w:r>
        <w:rPr>
          <w:b/>
        </w:rPr>
        <w:t>E. 5</w:t>
      </w:r>
    </w:p>
    <w:p>
      <w:r>
        <w:t>Die Beschwerde erweist sich aufgrund der vorstehenden Erwägungen als begründet und ist gutzuheissen.</w:t>
      </w:r>
    </w:p>
    <w:p>
      <w:r>
        <w:rPr>
          <w:b/>
        </w:rPr>
        <w:t>E. 6.1</w:t>
      </w:r>
    </w:p>
    <w:p>
      <w:r>
        <w:t>Die Beschwerdeinstanz auferlegt die Verfahrenskosten in der Regel der unterliegenden Partei. Die Verfahrenskosten können der unterliegenden Partei ausnahmsweise erlassen werden, wenn Gründe in der Sache oder in der Person der Partei es als unverhältnismässig erscheinen lassen, sie ihr aufzuerlegen (Art. 63 Abs. 1 VwVG i.V.m. Art. 6 Bst. b des Reglements vom 21. Februar 2008 über die Kosten und Entschädigungen vor dem Bundesverwaltungsgericht [VGKE, SR 173.320.2]). Vorinstanzen oder Bundesbehörden haben keine Verfahrenskosten zu tragen, auch wenn sie unterliegen (Art. 63 Abs. 2 VwVG). Beim vorliegenden Verfahrensausgang gilt der Beschwerdegegner als unterliegende Partei. Da die falsche Begründung der erstinstanzlichen Verfügung den Beschwerdegegner geradezu zur Erhebung einer Beschwerde bei der Vorinstanz veranlasste und er im vorliegenden Verfahren nicht mit eigenen Eingaben und Rechtsbegehren teilgenommen hat, sind ihm die Verfahrenskosten aus Gründen der Billigkeit zu erlassen.</w:t>
      </w:r>
    </w:p>
    <w:p>
      <w:r>
        <w:rPr>
          <w:b/>
        </w:rPr>
        <w:t>E. 6.2</w:t>
      </w:r>
    </w:p>
    <w:p>
      <w:r>
        <w:t>Es ist keine Parteientschädigung zuzusprechen, zumal der Beschwerdeführer keinen Anspruch auf eine Parteientschädigung hat (Art. 7 Abs. 3 i.V.m. Art. 8 VGKE; vgl. auch Art. 68 Abs. 3 des Bundesgerichtsgesetzes vom 17. Juni 2005 [BGG, SR 173.110]).</w:t>
      </w:r>
    </w:p>
    <w:p>
      <w:r>
        <w:rPr>
          <w:b/>
        </w:rPr>
        <w:t>E. 7</w:t>
      </w:r>
    </w:p>
    <w:p>
      <w:r>
        <w:t>Dieser Entscheid kann nicht mit Beschwerde in öffentlich-rechtlichen Angelegenheiten an das Bundesgericht weitergezogen werden. Er ist endgültig (Art. 83 Bst. s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