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B-3404/2013 vom 20. April 2015</w:t>
      </w:r>
    </w:p>
    <w:p>
      <w:r>
        <w:t>Bundesverwaltungsgericht, 2015-04-20, DE</w:t>
      </w:r>
    </w:p>
    <w:p>
      <w:r>
        <w:rPr>
          <w:b/>
        </w:rPr>
        <w:t xml:space="preserve">Quelle: </w:t>
      </w:r>
      <w:r>
        <w:t>https://mcp.opencaselaw.ch/entscheid/bvger_B-3404_2013</w:t>
      </w:r>
    </w:p>
    <w:p>
      <w:r>
        <w:t>FR: TAF B-3404/2013 du 20 avril 2015</w:t>
      </w:r>
    </w:p>
    <w:p>
      <w:r>
        <w:t>IT: TAF B-3404/2013 del 20 aprile 2015</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lit.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ist die Verfügung der IV-Stelle für Versicherte im Ausland vom 14. Mai 2013. Der Beschwerdeführer hat frist- und formgerecht Beschwerde erhoben (Art. 60 ATSG). Als Adressat der angefochtenen Verfügung ist er besonders berührt und hat ein schutzwürdiges Interesse an deren Änderung oder Aufhebung (Art. 59 ATSG). Damit ist auf das ergriffene Rechtsmittel, nachdem auch der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2008,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österreichischer Staatsangehöriger und lebt in Österreich,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an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 vom 14. Mai 2013 in Kraft standen; weiter aber auch alle übrigen Vorschriften, die für die Beurteilung der streitigen Verfügung im vorliegend massgeblichen Zeitraum von Belang sind.</w:t>
      </w:r>
    </w:p>
    <w:p>
      <w:r>
        <w:rPr>
          <w:b/>
        </w:rPr>
        <w:t>E. 4</w:t>
      </w:r>
    </w:p>
    <w:p>
      <w:r>
        <w:t>Streitgegenstand des vorliegenden Verfahrens bildet die Berechnung des Rentenbetrages und die Überweisung des Nachzahlungsbetrages von Fr. 5'698.- an die österreichische Pensionsversicherungsanstalt. Im Übrigen ist die Verfügung der Vorinstanz vom 14. Mai 2013 unbestritten.</w:t>
      </w:r>
    </w:p>
    <w:p>
      <w:r>
        <w:rPr>
          <w:b/>
        </w:rPr>
        <w:t>E. 5</w:t>
      </w:r>
    </w:p>
    <w:p>
      <w:r>
        <w:t>In einem ersten Schritt ist auf die Rüge des Beschwerdeführers, die Berechnung des Rentenbetrages sei nicht korrekt bzw. die Erziehungsgutschriften seien nicht richtig berücksichtig worden, einzugehen.</w:t>
      </w:r>
    </w:p>
    <w:p>
      <w:r>
        <w:rPr>
          <w:b/>
        </w:rPr>
        <w:t>E. 5.1.1</w:t>
      </w:r>
    </w:p>
    <w:p>
      <w:r>
        <w:t>Gemäss Art. 60 Abs. 1 lit. b IVG ist die Ausgleichskasse für die Berechnung der Renten, Taggelder, Einarbeitungszuschüsse und Entschädigung für Betreuungskosten zuständig.</w:t>
      </w:r>
    </w:p>
    <w:p>
      <w:r>
        <w:rPr>
          <w:b/>
        </w:rPr>
        <w:t>E. 5.1.2</w:t>
      </w:r>
    </w:p>
    <w:p>
      <w:r>
        <w:t>Anspruch auf eine ordentliche Rente haben Versicherte, die bei Eintritt der Invalidität während mindestens drei Jahren Beiträge geleistet haben (Art. 36 Abs. 1 IVG). Für die Berechnung der ordentlichen Renten sind die Bestimmungen des Bundesgesetzes über die Alters- und Hinterlassenenversicherung vom 20. Dezember 1946 (AHVG, SR 831.10) sinngemäss anwendbar (Art. 36 Abs. 2 Satz 1 IVG). Die IV-Renten entsprechen den Altersrenten der Alters- und Hinterlassenenversicherung (Art. 37 Abs. 1 IVG).</w:t>
      </w:r>
    </w:p>
    <w:p>
      <w:r>
        <w:rPr>
          <w:b/>
        </w:rPr>
        <w:t>E. 5.1.3</w:t>
      </w:r>
    </w:p>
    <w:p>
      <w:r>
        <w:t>Die ordentlichen Renten werden als Vollrenten für Versicherte mit vollständiger Beitragsdauer (lit. a) oder als Teilrenten für Versicherte mit unvollständiger Beitragsdauer (lit. b) ausgerichtet (Art. 29 Abs. 2 AHVG).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Art. 52 der Verordnung über die Alters- und Hinterlassenenversicherung vom 31. Oktober 1947 [AHVV, SR 831.101]).</w:t>
      </w:r>
    </w:p>
    <w:p>
      <w:r>
        <w:rPr>
          <w:b/>
        </w:rPr>
        <w:t>E. 5.1.4</w:t>
      </w:r>
    </w:p>
    <w:p>
      <w:r>
        <w:t>Für die Rentenberechnung werden die Beitragsjahre, das Erwerbseinkommen sowie die Erziehungs- oder Betreuungsgutschriften der rentenberechtigten Person zwischen dem 1. Januar nach Vollendung des 20. Altersjahres und dem 31. Dezember vor Eintritt des Versicherungsfalles (Rentenalter oder Tod) berücksichtigt (Art. 29bis Abs. 1 AHVG).</w:t>
      </w:r>
    </w:p>
    <w:p>
      <w:r>
        <w:rPr>
          <w:b/>
        </w:rPr>
        <w:t>E. 5.1.5</w:t>
      </w:r>
    </w:p>
    <w:p>
      <w:r>
        <w:t>Als vollständig gilt die Beitragsdauer, wenn die rentenberechtigte Person zwischen dem 1. Januar nach der Vollendung des 20. Altersjahres und dem 31. Dezember vor Eintritt des Rentenalters gleich viele Beitragsjahre aufweist wie ihr Jahrgang (Art. 29ter Abs. 1 AHVG). Als Beitragsjahre gelten nach Art. 29ter Abs. 2 AHVG Zeiten, in welchen eine Person Beiträge geleistet hat (lit. a), in welchen der Ehegatte gemäss Art. 3 Abs. 3 AHVG mindestens den doppelten Mindestbeitrag entrichtet hat (lit. b) sowie für die Erziehungs- oder Betreuungsgutschriften angerechnet werden können (lit. c). Dabei bestimmt sich die Beitragsdauer einer versicherten Person in der Regel nach den Einträgen in ihrem individuellen Konto [IK] (Art. 30ter Abs. 1 Satz 1 AHVG).</w:t>
      </w:r>
    </w:p>
    <w:p>
      <w:r>
        <w:rPr>
          <w:b/>
        </w:rPr>
        <w:t>E. 5.1.6</w:t>
      </w:r>
    </w:p>
    <w:p>
      <w:r>
        <w:t>Nach Art. 29quater AHVG wird die Rente nach Massgabe des durchschnittlichen Jahreseinkommens berechnet. Dieses setzt sich aus den Erwerbseinkommen (lit. a), den Erziehungsgutschriften (lit. b) sowie den Betreuungsgutschriften (lit. c) zusammen.</w:t>
      </w:r>
    </w:p>
    <w:p>
      <w:r>
        <w:rPr>
          <w:b/>
        </w:rPr>
        <w:t>E. 5.1.7</w:t>
      </w:r>
    </w:p>
    <w:p>
      <w:r>
        <w:t>Bei erwerbstätigen Personen werden nur die Einkommen berücksichtigt, auf denen Beiträge bezahlt wurden (Art. 29quinquies Abs. 1 AHVG). Die Einkommen, welche die Ehegatten während der Kalenderjahre der gemeinsam en Ehe erzielt haben, werden geteilt und je zur Hälfte den beiden Ehegatten angerechnet (Art. 29quinquies Abs. 3 AHVG). Die Einkommensteilung wird vorgenommen, wenn beide Ehegatten rentenberechtigt sind (lit. a), wenn eine verwitwete Person Anspruch auf eine Altersrenten hat (lit. b) oder bei Auflösung der Ehe durch Scheidung (lit. c). Der Teilung und der Anrechnung unterliegen laut Art. 29quinquies Abs. 4 AHVG jedoch nur Einkommen aus der Zeit zwischen dem 1. Januar nach Vollendung des 20. Altersjahres und dem 31. Dezember vor Eintritt des Versicherungsfalles beim Ehegatten, welcher zuerst rentenberechtigt wird (lit. a); und aus Zeiten, in denen beide Ehegatten in der schweizerischen Alters- und Hinterlassenenversicherung versichert gewesen sind (lit. b). Art. 29quinquies Abs. 4 AHVG ist für das Kalenderjahr, in dem die Ehe geschlossen oder aufgelöst wird, nicht anwendbar (Art. 29quinquies Abs. 5 AHVG).</w:t>
      </w:r>
    </w:p>
    <w:p>
      <w:r>
        <w:rPr>
          <w:b/>
        </w:rPr>
        <w:t>E. 5.1.8</w:t>
      </w:r>
    </w:p>
    <w:p>
      <w:r>
        <w:t>Versicherten wird für diejenigen Jahre eine Erziehungsgutschrift angerechnet, in welchen ihnen die elterliche Sorge für eines oder mehrerer Kinder zusteht, die das 16. Altersjahr noch nicht erreicht haben (Art. 29sexies Abs. 1 Satz 1 AHVG). Während des Jahres, in dem der Anspruch entsteht, werden keine Gutschriften angerechnet. Im Jahr, in dem der Anspruch erlischt, werden Gutschriften angerechnet (Art. 52f Abs. 1 AHVV). Die Erziehungsgutschrift entspricht dem Betrag der dreifachen minimalen jährlichen Altersrente im Zeitpunkt des Rentenanspruchs (Art. 29sexies Abs. 2 AHVG). Bei verheirateten Personen wird die Erziehungsgutschrift während der Kalenderjahre der Ehe hälftig aufgeteilt (Art. 29sexies Abs. 3 Satz 1 AHVG). Eine Kumulation von Erziehungsgutschriften für verschiedene Kinder ist für die gleiche rentenberechtigte Person in jedem Fall ausgeschlossen (RWL 2011 Rz. 5409). Erziehungsgutschriften werden immer für das ganze Kalenderjahr angerechnet. Ist eine Person nur während einzelner Monate versichert, so werden diese Monate über das Kalenderjahr hinaus zusammengezählt. Angebrochene Jahre werden nicht aufgerundet. Für je zwölf Monate wird eine Erziehungsgutschrift angerechnet (Art. 52 Abs. 5 AHVV; RWL 2011 Rz. 5425).</w:t>
      </w:r>
    </w:p>
    <w:p>
      <w:r>
        <w:rPr>
          <w:b/>
        </w:rPr>
        <w:t>E. 5.1.9</w:t>
      </w:r>
    </w:p>
    <w:p>
      <w:r>
        <w:t>Gemäss Art. 30 Abs. 1 AHVG in Verbindung mit Art. 51bis Abs. 1 AHVV wird die Summe der Erwerbseinkommen entsprechend dem Rentenindex gemäss Art. 33ter AHVG aufgewertet. Der Bundesrat lässt die Aufwertungsfaktoren jährlich festsetzen. Nach Art. 30 Abs. 2 AHVG werden die Summe der aufgewerteten Erwerbseinkommen sowie die Erziehungs- oder Betreuungsgutschriften durch die Anzahl der Beitragsjahre geteilt.</w:t>
      </w:r>
    </w:p>
    <w:p>
      <w:r>
        <w:rPr>
          <w:b/>
        </w:rPr>
        <w:t>E. 5.2</w:t>
      </w:r>
    </w:p>
    <w:p>
      <w:r>
        <w:t>In Anwendung der soeben dargelegten Bestimmungen (E. 5.1) ist zu prüfen, ob die Berechnung des massgebenden durchschnittlichen Jahreseinkommen und somit des frankenmässigen Rentenbetrages des Beschwerdeführer von der Ausgleichskasse korrekt durchgeführt worden ist.</w:t>
      </w:r>
    </w:p>
    <w:p>
      <w:r>
        <w:rPr>
          <w:b/>
        </w:rPr>
        <w:t>E. 5.2.1</w:t>
      </w:r>
    </w:p>
    <w:p>
      <w:r>
        <w:t>Für die Ermittlung der anzuwendenden Rentenskala ist dem IK-Auszug des Beschwerdeführers zu folgen. Es ist dabei auf die vollen Beitragsjahre abzustellen (vgl. Art. 38 Abs. 2 AHVG). Vorliegend ist insgesamt von 17 Jahren und 3 Monaten bzw. 207 Monate auszugehen (vgl. IV act. 60 S. 7). Da der Jahrgang des Beschwerdeführers (1954) im Jahre 2012 eine vollständige Versicherungsdauer von 37 Jahren aufweist, ist somit auf die Rentenskala 21 abzustützen (vgl. BSV [Bundesamt für Sozialversicherungen], Rententabellen 2011 AHV/IV, gültig ab 1. Januar 2011, S. 8 und 10).</w:t>
      </w:r>
    </w:p>
    <w:p>
      <w:r>
        <w:rPr>
          <w:b/>
        </w:rPr>
        <w:t>E. 5.2.2</w:t>
      </w:r>
    </w:p>
    <w:p>
      <w:r>
        <w:t>Die Berechnung des massgebenden durchschnittlichen Erwerbseinkommens des Beschwerdeführers ist an die IK-Eintragungen gebunden. Die von der Ausgleichskasse vorgenommene hälftige Teilung des Einkommens, welches die Ehegatten während der Kalenderjahre der gemeinsamen Ehe von 1981 bis 1994 erzielt haben, wurde korrekt gemäss Art. 29quinquies Abs. 3 AHVG durchgeführt. Das zu berücksichtigende Einkommen beträgt somit Fr. 484'820.-. Diese ist mit dem Aufwertungsfaktor zu multiplizieren. Der erste massgebende IK-Eintrag erfolgte im Jahre 1975, weshalb der Aufwertungsfaktor 1.152 beträgt (vgl. BSV, Rententabellen 2013 AHV/IV, gültig ab 1. Januar 2013, S. 15). Das aufgewertete Erwerbseinkommen von Fr. 558'513.- (Fr. 484'820.- x Aufwertungsfaktor 1.152) wird durch die Anzahl der massgebenden 207 Beitragsmonate geteilt (vgl. E. 5.1.9. hiervor) und ergibt demnach ein jährliches durchschnittliches Erwerbseinkommen von Fr. 32'378.- (Fr. 558'513.- ./. 207 Beitragsmonate x 12).</w:t>
      </w:r>
    </w:p>
    <w:p>
      <w:r>
        <w:rPr>
          <w:b/>
        </w:rPr>
        <w:t>E. 5.2.3</w:t>
      </w:r>
    </w:p>
    <w:p>
      <w:r>
        <w:t>Zum durchschnittlichen Erwerbseinkommen sind die Erziehungsgutschriften gemäss Art. 29sexies AHVG anzurechnen. Gemäss Art. 52e und Art. 52f AHVV sind die Erziehungsgutschriften während der Ehe hälftig zu teilen.</w:t>
      </w:r>
    </w:p>
    <w:p>
      <w:r>
        <w:rPr>
          <w:b/>
        </w:rPr>
        <w:t>E. 5.2.4</w:t>
      </w:r>
    </w:p>
    <w:p>
      <w:r>
        <w:t>Weiter sind dem Beschwerdeführer für diejenigen Zeiträume Erziehungsgutschriften anzurechnen, in welchen er sowohl bei der AHV/IV versichert war als auch die elterliche Sorge über (mindestens) ein Kind hatte, das das 16. Altersjahr noch nicht erreicht hatte.</w:t>
      </w:r>
    </w:p>
    <w:p>
      <w:r>
        <w:rPr>
          <w:b/>
        </w:rPr>
        <w:t>E. 5.2.5</w:t>
      </w:r>
    </w:p>
    <w:p>
      <w:r>
        <w:t>Das älteste Kind des Beschwerdeführers wurde im März 1982 geboren Damit hat der Beschwerdeführer ab 1983 Anspruch auf Erziehungsgutschriften. Er war bis ins Jahr 1993 bei der AHV/IV versichert. Im Jahr 1993 hat der Beschwerdeführer insgesamt lediglich 7 Monate gearbeitet und damit das Minimum von 12 Monaten, das für die Anrechnung einer weiteren jährlichen Erziehungsgutschrift notwendig gewesen wäre, nicht erreicht. Somit hat der Beschwerdeführer von 1983 bis 1992, also für 10 Jahre, Anspruch auf Erziehungsgutschriften. Da er in dieser Zeit mit der ebenfalls bei der Schweizerischen AHV/IV versicherten A._______ verheiratet war, hat er allerdings nur Anspruch auf halbe Erziehungsgutschriften. Die Berechnung der Erziehungsgutschriften setzt sich wie folgt zusammen: Fr. 1'160.- (minimale monatliche Vollrente der AHV; vgl. BSV, Rententabellen 2011, gültig ab 1. Januar 2011, S. 18) x 36 Monate (Art. 29sexies Abs. 2 AHVG) x 12 Monate x 10 Jahre ./. 207 Beitragsmonate ./. 2 (hälftige Teilung der Erziehungsgutschriften; vgl. E. 5.1.8 hiervor) = Fr. 12'104.-.</w:t>
      </w:r>
    </w:p>
    <w:p>
      <w:r>
        <w:rPr>
          <w:b/>
        </w:rPr>
        <w:t>E. 5.2.6</w:t>
      </w:r>
    </w:p>
    <w:p>
      <w:r>
        <w:t>In einem letzten Schritt ist das massgebende durchschnittliche Jahreseinkommen zu berechnen. Es setzt sich aus dem durchschnittlichen Erwerbseinkommen in der Höhe von Fr. 32'378.- und den Erziehungsgutschriften in der Höhe von Fr. 12'104.- zusammen und beträgt demnach Fr. 44'482.-. Die Ausgleichskasse hat diesen Betrag auf den Tabellenwert von Fr. 44'544.- aufgerundet (vgl. BSV, Rententabellen 2011, gültig ab 1. Januar 2011, S. 64). Der frankenmässige Rentenbetrag für eine ganze Invalidenrente ab dem 1. November 2012 bis zum 31. Dezember 2012 setzt sich wie folgt zusammen: Der Rentenskala 21 ist in der Zeile des obgenannten Tabellenwertes von Fr. 44'544.- die monatlich auszurichtende Alters- und Invalidenrente in der Höhe von Fr. 859.- zu entnehmen. Ab 1. Januar 2013 wurden die Tabellenwerte erhöht. Dabei ergibt sich bei einem massgebenden durchschnittlichen Jahreseinkommen bis zu Fr. 44'928.- ein auszurichtende Alters- und Invalidenrente von monatlich Fr. 867.- (vgl. BSV, Rententabellen 2013, gültig ab 1. Januar 2013, S. 64). Zusammengefasst ergibt sich demnach für den Zeitraum vom 1. November 2012 bis 31. Dezember 2012 eine monatliche ganze Invalidenrente in der Höhe von Fr. 859.- und ab 1. Januar 2013 eine solche in der Höhe von Fr. 867.-.</w:t>
      </w:r>
    </w:p>
    <w:p>
      <w:r>
        <w:rPr>
          <w:b/>
        </w:rPr>
        <w:t>E. 5.2.7</w:t>
      </w:r>
    </w:p>
    <w:p>
      <w:r>
        <w:t>Die Berechnung der Höhe der Invalidenrente in der angefochtenen Verfügung vom 14. Mai 2013 erweist sich als korrekt. Wie die Vorinstanz in ihrer Vernehmlassung vom 23. September 2013 ausgeführt hat, ändert sich im Ergebnis nichts, wenn anstatt 10 halbe Erziehungsgutschriften - wie verfügungsweise festgehalten wurde - lediglich 5 ganze Erziehungsgutschriften angerechnet werden.</w:t>
      </w:r>
    </w:p>
    <w:p>
      <w:r>
        <w:rPr>
          <w:b/>
        </w:rPr>
        <w:t>E. 6</w:t>
      </w:r>
    </w:p>
    <w:p>
      <w:r>
        <w:t>In einem nächsten Schritt ist zu prüfen, ob die vom Beschwerdeführer beanstandete Zahlung des Nachzahlungsbetrages an die österreichische Pensionsversicherungsanstalt rechtmässig erfolgt ist.</w:t>
      </w:r>
    </w:p>
    <w:p>
      <w:r>
        <w:rPr>
          <w:b/>
        </w:rPr>
        <w:t>E. 6.1</w:t>
      </w:r>
    </w:p>
    <w:p>
      <w:r>
        <w:t>Gemäss Art. 111 der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verpflichtet sich der Träger eines Vertragsstaates, wenn ein Träger eines anderen Vertragsstaates einer versicherten Person einen höheren Betrag bezahlt hat als den, auf den diese Anspruch hat, auf dessen Verlangen den zuviel gezahlten Betrag von den nachzuzahlenden Beträgen einzubehalten und diesem zu überweisen.</w:t>
      </w:r>
    </w:p>
    <w:p>
      <w:r>
        <w:rPr>
          <w:b/>
        </w:rPr>
        <w:t>E. 6.2</w:t>
      </w:r>
    </w:p>
    <w:p>
      <w:r>
        <w:t>Im vorliegenden Fall hat die österreichische Pensionsversicherungsanstalt mit Meldeformular E 204 mitgeteilt, dass Verrechnungen von Überzahlungen vorzunehmen seien und etwaige Nachzahlungen nicht unmittelbar dem Berechtigten ausgezahlt werden können (vgl. IV act. 4 S. 7). In Ausführung des massgeblichen Staatsvertragsrechts war die Vorinstanz dementsprechend gehalten gewesen, den Nachzahlungsbetrag von Fr. 5'698.- direkt an die österreichische Pensionsversicherungsanstalt zu überweisen (vgl. IV act. 71). Diese Zahlung des Nachzahlungsbetrages an die österreichische Pensionsversicherungsanstalt ist somit rechtmässig erfolgt.</w:t>
      </w:r>
    </w:p>
    <w:p>
      <w:r>
        <w:rPr>
          <w:b/>
        </w:rPr>
        <w:t>E. 6.3</w:t>
      </w:r>
    </w:p>
    <w:p>
      <w:r>
        <w:t>Allfällige Einwände gegen den Bestand oder die Höhe von Verrechnungsforderungen der österreichischen Rentenversicherung hat der Beschwerdeführer dieser gegenüber geltend zu machen.</w:t>
      </w:r>
    </w:p>
    <w:p>
      <w:r>
        <w:rPr>
          <w:b/>
        </w:rPr>
        <w:t>E. 7</w:t>
      </w:r>
    </w:p>
    <w:p>
      <w:r>
        <w:t>Aus den dargelegten Gründen erweist sich die Beschwerde des Beschwerdeführers als unbegründet und ist abzuweisen. Die Verfügung der Vorinstanz vom 14. Mai 2013 ist zu bestätigen.</w:t>
      </w:r>
    </w:p>
    <w:p>
      <w:r>
        <w:rPr>
          <w:b/>
        </w:rPr>
        <w:t>E. 8.1</w:t>
      </w:r>
    </w:p>
    <w:p>
      <w:r>
        <w:t>Bei diesem Ausgang des Verfahrens ergibt sich, dass der Beschwerdeführer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im vorliegenden Verfahren auf Fr. 400.- festgelegt und dem bereits geleisteten Kostenvorschuss in gleicher Höhe entnommen.</w:t>
      </w:r>
    </w:p>
    <w:p>
      <w:r>
        <w:rPr>
          <w:b/>
        </w:rPr>
        <w:t>E. 8.2</w:t>
      </w:r>
    </w:p>
    <w:p>
      <w:r>
        <w:t>Dem unterliegenden, nicht anwaltlich vertretenen Beschwerdeführer wird keine Parteientschädigung zugesprochen (Art. 64 Abs. 1 VwVG e contrario). Die obsiegende Vorinstanz hat nach Art. 7 Abs. 1 e contrario und Abs. 3 VGKE auch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