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B-3369/2013 vom 12. März 2014</w:t>
      </w:r>
    </w:p>
    <w:p>
      <w:r>
        <w:t>Bundesverwaltungsgericht, 2014-03-12, DE</w:t>
      </w:r>
    </w:p>
    <w:p>
      <w:r>
        <w:rPr>
          <w:b/>
        </w:rPr>
        <w:t xml:space="preserve">Quelle: </w:t>
      </w:r>
      <w:r>
        <w:t>https://mcp.opencaselaw.ch/entscheid/bvger_B-3369_2013</w:t>
      </w:r>
    </w:p>
    <w:p>
      <w:r>
        <w:t>FR: TAF B-3369/2013 du 12 mars 2014</w:t>
      </w:r>
    </w:p>
    <w:p>
      <w:r>
        <w:t>IT: TAF B-3369/2013 del 12 marzo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und der Kostenvorschuss wurde fristgemäss bezahlt (Art. 63 Abs. 4 VwVG). Auf die Beschwerde ist deshalb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Markenschutzgesetz [MSchG, SR 232.11]). An die Unterschiedlichkeit der beanspruchten Waren und Dienstleistungen sind umso höhere Anforderungen zu stellen, je ähnlicher sich die Zeichen sind (BGE 128 III 445 E. 3.1 Appenzeller, BGE 128 III 99 E. 2c Orfina, BGE 126 III 320 E. 6b/bb Apiella; Lucas David, in: Kommentar zum schweizerischen Privatrecht, Markenschutzgesetz/Muster- und Modellgesetz,2. Aufl., Basel 1999, Art. 3 Rz. 8). Dabei ist die Aufmerksamkeit der Verkehrskreise und die Kennzeichnungskraft der Zeichen zu berücksichtigen (BGE 121 III 378 E. 2a Boss/Boks; Urteile des Bundesverwaltungsgerichts B-4753/2012 vom 18. April 2013 E. 2.1 Connect/Citroën Business Connected, B-1618/2011 vom 25. September 2012 E. 5.2 Eiffel/Gustave Eiffel [fig.]; Gallus Joller, in Michael G. Noth/Gregor Bühler/Florent Thouvenin [Hrsg.], Markenschutzgesetz [MSchG], Bern 2009, Art. 3 Rz. 45; Christoph Willi, Markenschutzgesetz, Das schweizerische Markenrecht unter Berücksichtigung des europäischen und internationalen Markenrechts, Zürich 2002, Art. 3 Rz. 17 ff.).</w:t>
      </w:r>
    </w:p>
    <w:p>
      <w:r>
        <w:rPr>
          <w:b/>
        </w:rPr>
        <w:t>E. 2.2</w:t>
      </w:r>
    </w:p>
    <w:p>
      <w:r>
        <w:t>Die Gleichartigkeit von Waren und Dienstleistungen beurteilt sich aufgrund der Registereinträge (Urteile des Bundesverwaltungsgerichts B-4753/2012 vom 18. April 2013 E. 2.2 Connect/Citroën Business Connected, B-137/2009 vom 30. September 2009 E. 5.1.1 Diapason Rogers Commodity Index, B-8105/2007 vom 17. November 2008 E. 4.2.2 Activia, B-7437/2006 vom 5. Oktober 2007 E. 6 Old Navy), soweit der Schutzumfang nicht aufgrund einer erfolgreich erhobenen Nichtgebrauchseinrede eingeschränkt wird (Joller in Noth/Bühler/Thouvenin, Art. 3 Rz. 235; Willi, a.a.O., Art. 3 Rz. 37). Wird im Waren- und Dienstleistungsverzeichnis ein Oberbegriff beansprucht, so beurteilt sich die Gleichartigkeit auf dieser Ebene (Urteil des Bundesverwaltungsgerichts B-4260/2010 vom 21. Dezember 2011 E. 6.2.3 Bally/Balú [fig.]). Irrelevant ist, welche Verkehrskreise der Markeninhaber tatsächlich bearbeitet (Urteil des Bundesverwaltungsgerichts B-7514/2006 vom 31. Juli 2007 E. 10 Quadratischer Rahmen [fig.]/Quadratischer Rahmen [fig.]).</w:t>
      </w:r>
    </w:p>
    <w:p>
      <w:r>
        <w:rPr>
          <w:b/>
        </w:rPr>
        <w:t>E. 2.3</w:t>
      </w:r>
    </w:p>
    <w:p>
      <w:r>
        <w:t>Bei der Beurteilung der Ähnlichkeit verbaler Zeichen sind der Wortklang, das Schriftbild und gegebenenfalls der Sinngehalt massgebend (BGE 127 III 160 E. 2b/cc Securitas, BGE 121 III 377 E. 2b Boss/Boks; Urteil des Bundesverwaltungsgerichts B-5188/2010 vom 27 Mai 2011 E. 2.3 M&amp;G [fig.]/MG International; Eugen Marbach in Roland von Büren/Lucas David [Hrsg.], Schweizerisches Immaterialgüter- und Wettbewerbsrecht, Bd. III/1, Basel 2009 [zit. SIWR III/1], Rz. 872 ff.; Willi, a.a.O., Art. 3 Rz. 69 ff.), wobei eine Ähnlichkeit im Wortklang oder Schriftbild allein genügt (Entscheid der Eidgenössischen Rekurskommission für geistiges Eigentum [RKGE] in: sic! 2006 S. 761 E. 4 McDonald's/McLake; Marbach, SIWR III/1,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Rz. 11; Joller in Noth/Büh­ler/Thouvenin, Art. 3 Rz. 121; Marbach, SIWR III/1, Rz. 864). Weil zwei Zeichen meist nicht gleichzeitig wahrgenommen werden, beurteilt sich die Ähnlichkeit der Zeichen im Erinnerungsbild des Abnehmers (BGE 121 III 378 E. 2a Boss/Boks, BGE 119 II 476 E. 2d Radion/Radiomat; Marbach, SIWR III/1, Rz. 867; David, a.a.O., Rz. 15). Dabei kommt dem Wortanfang in der Regel eine erhöhte Bedeutung zu, weil er besser im Gedächtnis haften bleibt (BGE 127 III 160 E. 2b/cc Securitas/Securicall, BGE 122 III 382 E. 5 Kamillosan; Urteile des Bundesverwaltungsgerichts B-2996/2011 vom 30. November 2012 E. 6.2 Skincode/Swisscode, B-37/2011 vom 6. Oktober 2011 E. 6.2 Sansan/Santasana).</w:t>
      </w:r>
    </w:p>
    <w:p>
      <w:r>
        <w:rPr>
          <w:b/>
        </w:rPr>
        <w:t>E. 2.4</w:t>
      </w:r>
    </w:p>
    <w:p>
      <w:r>
        <w:t>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Urteile des Bundesverwaltungsgerichts B-7452/2006 vom 17. April 2007 E.2 Martini/martini [fig.], B-7447/2006 vom 17. April 2007 Martini baby/martini [fig.]; Marbach, SIWR III/1, Rz. 979), denn die Ausstrahlung der starken Marke erhöht die Wahrscheinlichkeit von Assoziationen und damit die Gefahr, dass die Konsumenten ähnliche Drittmarken als Kennzeichen gleichwertiger, austauschbarer Ersatzprodukte auffassen (BGE 122 III 382 S. 386 E.2a Kamillosan/Kamillon, Kamillan). Als schwach gelten insbesondere Marken, deren wesentliche Bestandteile sich eng an das Gemeingut anlehnen (Urteile des Bundesverwaltungsgerichts B 5440/2008 vom 24. Juli 2009 E. 6.2 Jump [fig.]/Jumpman, B-5477/2007 vom 28. Februar 2008, E. 6 Regulat/H2O3 pH/Regulat [fig.] und B 7492/2006 vom 12. Juli 2007 E. 6, Aromata/Aromathera; Marbach, SIWR III/1, Rz. 981). Der reduzierte Schutzbereich gilt für den ganzen registrierten Oberbegriff, auch wenn der beschreibende Charakter nur für einen Teil der darunter fallenden Waren zutrifft (Urteile des Bundesverwaltungsgerichts B-283/2012 vom 13. Dezember 2012 E. 7.1.2 Noblewood, B-7272/2008 vom 11. Dezember 2009 E. 5.3.5 Snowsport [fig.] und B-7204/2007 vom 1. Dezember 2008 E. 6 Stencilmaster).</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Auch die Zugehörigkeit der Widerspruchsmarke zu einer Markenserie kann die mittelbare Verwechslungsgefahr erhöhen, wenn jene registriert und ihr Gebrauch glaubhaft gemacht worden ist ("Serienverwechselbarkeit"; Urteil des Bundesverwaltungsgerichts B-2635/2008 vom 1. Dezember 2008 E. 7.3 Anna Molinari; RKGE in sic! 2005 S. 805 Suprême des Ducs/Suprême de fromage Eisis Chästerrine [fig.]; RKGE in sic! 1998 S. 197 Torres, Las Torres/Baron de la Torre; Marbach, SIWR III/1, Rz. 965; vgl. Willi, a.a.O., Art. 3 Rz. 12). Starke Kennzeichnungskraft und ein hoher Bekanntheitsgrad einer Marke erhöhen die Wahrscheinlichkeit von Assoziationen und damit die Gefahr, dass die Konsumenten ähnliche Drittmarken missdeuten (BGE 128 III 445 E. 3.1 Appenzeller; BGE 128 III 97 E. 2a Orfina, BGE 127 III 165 f. E. 2a Securiton/Securicall). Die Verwechslungsgefahr kann hingegen im Gesamteindruck entfallen, wenn es sich beim übernommenen Element um einen schwachen Bestandteil handelt, der mit einem kennzeichnungskräftigen Bestandteil verbunden wurde (Urteile des Bundesverwaltungsgerichts B-502/2009 vom 3. November 2009 E. 5.2.1, E. 6 Premium ingredients, s.l. [fig.]/Premium Ingredients International [fig.], B-1656/2008 vom 31. März 2009 E. 10 F1/F1H2O, B-386/2007 vom 4. Dezember 2009 E. 7 Sky/Sky­pe in und Skype out).</w:t>
      </w:r>
    </w:p>
    <w:p>
      <w:r>
        <w:rPr>
          <w:b/>
        </w:rPr>
        <w:t>E. 2.6</w:t>
      </w:r>
    </w:p>
    <w:p>
      <w:r>
        <w:t>Die Frage der Verwechslungsgefahr zwischen mehrsilbigen Wortmarken, die beide für Pharmazeutika registriert sind, hat die Rechtsprechung schon wiederholt beschäftigt. Das Vorliegen einer Verwechslungsgefahr wurde gewöhnlich bejaht, wenn die Marken sich entweder nur in ihrer End- oder nur in ihrer Mittelsilbe voneinander unterschieden (BGE 78 II 381 E. 1 Alucol/Aludrox, Urteile des Bundesverwaltungsgerichts B-953/2013 vom 15. Oktober 2013 E. 2.5 Cizello/Scielo, B-5871/2011 vom 4. März 2013 E. 6 Gadovist/Gadogita, B-4070/2007 vom 8. April 2008 E. 7 Levane/Levact; RKGE in sic! 2003 S. 345 ff. Mobilat/Mobigel, RKGE in sic! 2005 S. 576 ff. Silkis/Sipqis, RKGE in sic! 2003 S. 500 ff. Rivotril/Rimostil, RKGE in sic! 2000 S. 704 ff. Nasobol/Nascobal, RKGE in sic! 1999 S. 650 ff. Monistat/Mobilat, RKGE in sic! 1999 S. 568 ff. Calciparine/Cal-Heparine, RKGE in sic! 1997 S. 294 ff. Nicopatch/Nicoflash). Zählen die zu vergleichenden Marken unterschiedlich viele Sil­ben oder hat ein Wortbestandteil einen im Gemeingut stehenden und da­rum nur schwach kennzeichnungskräftigen Sinngehalt, hängt die Beurteilung vor allem davon ab, ob auch die prägenden, kennzeichnungsstarken Silben von der angegriffenen Marke übernommen wurden (Schweizerische Mitteilungen über Immaterialgüterrecht [SMI] 1985 S. 46 ff. Jade/Naiade, BVGE 2010/32 E. 7.4 Pernaton/Pernadol 400, Urteile des Bundesverwaltungsgerichts B-953/2013 vom 15. Oktober 2013 E. 2.5 Cizello/Scielo, B-5871/2011 vom 4. März 2013 E. 6 Gadovist/Gadogita, B-5780/2009 vom 12. Januar 2010 E. 3.5 Sevikar/Sevcad, B-1700/2009 vom 11. November 2009 E. 7 Oscillococcinum/Anticoccinum; RKGE in sic! 2006 S. 337 E. 3 ff. BSN medical/bsmedical Biomedical Surgery [fig.], RKGE in sic! 2003 S. 346 E. 5 Mobilat/Mobigel, RKGE in sic! 2000 S. 608 ff. Tasmar/Tasocar, RKGE in sic! 1997 S. 295 ff. Exosurf/Exomuc, RKGE in sic! 1997 S. 294 E. 2 Nicopatch/Nicoflash). Unterscheiden sich die Anfangssilben nur geringfügig, besteht aber dennoch eine Verwechslungsgefahr (BGE 101 II 290 Stugeron/Ugaron; RKGE in sic! 2005 S. 655 Leponex/Felonex, RKGE in SMI 1996 S. 467 Vit-a-cid/Phyt'acid, RKGE in SMI 1996 S. 328 Dromos/Stromos). Im Gegensatz zu den betonten Wortteilen (BGE 127 III 160 E. 2b/cc Securitas, 122 III 382 E. 5a Kamillosan; Urteil des Bundesverwaltungsgerichts B-2678/2012 vom 7. März 2013 E. 7.2.1 Omix/Onyx) fallen unbetonte Wortendungen bei der Beurteilung der Verwechslungsgefahr in der Regel weniger ins Gewicht (vgl. BGE 112 II 362 E. 2 Seccolino/Escolino; Urteil des Bundesverwaltungsgerichts B-953/2013 vom 15. Oktober 2013 E. 2.5 Cizello/Scielo, B-2380/2010 vom 7. Dezember 2011 E. 7.3 Lawfinder/Lexfind.ch; RKGE in sic! 2003 S. 973 ff. E. 4 Seropram/Citopram; Joller in Noth/Bühler/Thouvenin, Art. 3 Rz. 153).</w:t>
      </w:r>
    </w:p>
    <w:p>
      <w:r>
        <w:rPr>
          <w:b/>
        </w:rPr>
        <w:t>E. 3.1</w:t>
      </w:r>
    </w:p>
    <w:p>
      <w:r>
        <w:t>Aufgrund der für die Beurteilung relevanten Waren und Dienstleistungen sind vorfrageweise die massgeblichen Verkehrskreise zu bestimmen (Marbach, SIWR III/1, Rz. 180; derselbe, Die Verkehrskreise im Markenrecht, in sic! 2007, S. 7). Die Bestimmung der Verkehrskreise ist eine Rechtsfrage (BGE 133 III 347 E. 4 trapezförmiger Verpackungsbehälter [3D]; BGE 126 III 317 E. 4b Apiella/Rivella; Marbach, SIWR III/1, Rz. 183). Sie erfolgt aufgrund des Registereintrags, wobei irrelevant ist, welche Verkehrskreise der Markeninhaber tatsächlich bearbeitet (Urteil des Bundesverwaltungsgerichts B-7514/2006 vom 31. Juli 2007 E. 4 Quadratischer Rahmen [fig.]/Quadratischer Rahmen [fig.]). Bei Waren und Dienstleistungen, die sich gleichzeitig an Fachleute und an Durchschnittskonsumenten richten, ist auch das Verständnis der betroffenen Fachkreise zu berücksichtigen (Urteile des Bundesverwaltungsgerichts B-6632/2011 vom 18. März 2013 E. 4.1 Adaptive Support Ventilation, B-6629/2011 vom 18. März 2013 E. 5.1 ASV, B-8058/2010 vom 27. Juli 2011 E. 3.3 Ironwood). Dabei kann nicht schematisch darauf abgestellt werden, welcher Adressatenkreis mengenmässig am grössten ist, weil je nach Konstellation auch die kleineren Fachkreise oder weiteren Adressatengruppen zu berücksichtigen sind (Urteil des Bundesgerichts 4A_6/2013 vom 16. April 2013 E. 3.2.2 Wilson; Urteil des Bundesverwaltungsgerichts B-5296/2012 vom 30. Oktober 2013 E. 3 toppharm Apotheken [fig.]). Eine erhöhte Aufmerksamkeit und eine reduzierte Verwechslungsgefahr wird in der Regel angenommen, wenn sich eine Marke nur an Fachleute wendet (Urteil des Bundesgerichts 4C.258/2004 vom 6. Oktober 2004 E. 2.3 Yello/Yellow Access AG; Urteil des Bundesverwaltungsgerichts B-1398/2011 vom 25. September 2012 E. 5.4 Etavis/Estavis 1993; David, a.a.O., Art. 3 Rz. 14) oder es sich um Dienstleistungen handelt, die nicht zum täglichen Bedarf gehören (Urteil des Bundesverwaltungsgerichts B-38/2011 vom 29. April 2011 E. 7 ff. IKB/ICB, ICB [fig.]), während bei Massenartikeln des täglichen Bedarfs mit einer geringeren Aufmerksamkeit der Verkehrskreise zu rechnen ist (BGE 133 III 347 E. 4.1 trapezförmiger Verpackungsbehälter [3D]; Joller in Noth/Bühler/Thouvenin, Art. 3 Rz. 52). Anderes gilt bei Medikamenten, bei deren Kauf nach ständiger Rechtsprechung des Bundesverwaltungsgerichts eine besondere Aufmerksamkeit gilt (Urteile des Bundesverwaltungsgerichts B-953/2013 vom 15. Oktober 2013 E. 3.1 f. Cizello/Scielo, B-1760/2012 vom 11. März 2013 E. 4.2 Zurcal/Zorcala, B-5780/2009 vom 21. Januar 2010 E. 3.5 Sevikar/Sevcad, B-6770/2007 vom 9. Juni 2008 E. 7.2 Nasacort/Vasocor und B-4070/2007 vom 8. April 2008 E. 5.2 und 9 Levane/Levact; RKGE in sic! 2000 S. 608 E. 3 Tasmar/Tasocar; Joller in Noth/Bühler/Thouvenin, Art. 3 Rz. 55; Willi, a.a.O., Art. 3 Rz. 21).</w:t>
      </w:r>
    </w:p>
    <w:p>
      <w:r>
        <w:rPr>
          <w:b/>
        </w:rPr>
        <w:t>E. 3.2</w:t>
      </w:r>
    </w:p>
    <w:p>
      <w:r>
        <w:t>Die vorliegende Widerspruchsmarke ist für "pharmazeutische Produkte" der Klasse 5 eingetragen, ohne Einschränkung auf rezeptpflichtige Medikamente. Letzteres gilt auch für die von der angefochtenen Marke in derselben Klasse beanspruchten "pharmazeutischen Präparate und Substanzen für die Gasreduktion und gegen abdominale Schwellungen". Damit bestehen die massgeblichen Verkehrskreise sowohl aus Fachkreisen wie Ärzten und Apothekern als auch aus Patienten, die den Kaufentscheid für rezeptfreie Medikamente selbst treffen.</w:t>
      </w:r>
    </w:p>
    <w:p>
      <w:r>
        <w:rPr>
          <w:b/>
        </w:rPr>
        <w:t>E. 4</w:t>
      </w:r>
    </w:p>
    <w:p>
      <w:r>
        <w:t>In einem ersten Schritt ist zu prüfen, ob die beanspruchten Waren der sich gegenüberstehenden Marken aus Sicht der massgebenden Verkehrskreise gleichartig sind. Vorliegend ist die Widerspruchsmarke für den Oberbegriff der Klasse 5 und die angefochtene Marke in der gleichen Klasse für einen praktisch gleichlautenden Oberbegriff sowie sinngemäss für Medikamente gegen Blähungen registriert (E. 3.2). Letztere fallen, wie die Vorinstanz richtig festgestellt hat, ebenfalls unter den Oberbegriff "pharmazeutische Produkte", der nicht durch eine Nichtgebrauchseinrede eingeschränkt wird. Der Vorinstanz ist darum beizupflichten, dass die gegenüberstehenden Marken für identische Waren beansprucht werden. Bei der Beurteilung der Verwechslungsgefahr ist daher ein strenger Massstab anzulegen (BGE 126 III 320 E. 6b bb Apiella, BGE 122 III 387 E. 3a Kamillosan; Joller in Noth/Bühler/Thouvenin, Art. 3 Rz. 46).</w:t>
      </w:r>
    </w:p>
    <w:p>
      <w:r>
        <w:rPr>
          <w:b/>
        </w:rPr>
        <w:t>E. 5.1</w:t>
      </w:r>
    </w:p>
    <w:p>
      <w:r>
        <w:t>Die Vorinstanz hat eine "vorab klangliche" Zeichenähnlichkeit der gegenüberstehenden Wortmarken bejaht. Auch im Sinngehalt bestünden keine Unterschiede, da beide Marken als unbestimmte Fantasiezeichen wahrgenommen würden. Die Beschwerdeführerin bestreitet eine schriftbildliche, klangliche oder sinngehaltliche Zeichenähnlichkeit.</w:t>
      </w:r>
    </w:p>
    <w:p>
      <w:r>
        <w:rPr>
          <w:b/>
        </w:rPr>
        <w:t>E. 5.2</w:t>
      </w:r>
    </w:p>
    <w:p>
      <w:r>
        <w:t>Bezüglich des Schriftbilds fällt auf, dass die Widerspruchsmarke mit einem "X" beginnt, während die angefochtene Marke mit einem "B" optisch unterschiedlich anfängt. Gemeinsam haben die beiden Marken andererseits das "O" in der Mitte der ersten Silbe sowie die Endung "-air". Die Silbe "Xol" der Widerspruchsmarke findet sich in der Umkehrung "lox" in der ersten Silbe der angefochtenen Marke wieder. Die Widerspruchsmarke ist sechs, die angefochtene Marke sieben Buchstaben lang, wobei der Unterschied kaum wahrgenommen wird. Die Wortendung "-air" ist bei beiden Marken identisch. Damit besteht eine Ähnlichkeit zwischen den Schriftbildern der Vergleichszeichen.</w:t>
      </w:r>
    </w:p>
    <w:p>
      <w:r>
        <w:rPr>
          <w:b/>
        </w:rPr>
        <w:t>E. 5.3</w:t>
      </w:r>
    </w:p>
    <w:p>
      <w:r>
        <w:t>Zu Wortklang und Aussprache stellte die Vorinstanz Ähnlichkeiten zwischen den Marken fest. Tatsächlich sind die Vokalfolgen O-A-I identisch. Während die Widerspruchsmarke als "Ksolähr" gelesen wird, wird die angefochtene Marke "Bloksähr" ausgesprochen. Bei beiden wird besonders das hart ausgesprochene "X" wahrgenommen (vgl. Urteil des Bundesverwaltungsgerichts B-1700/2009 vom 11. November 2009 E. 7.3.2 Oscillococcinum/Anticoccinum) wobei im verschwommenen Erin­nerungsbild die Stellung des "X" im Wort weniger deutlich ist, denn eine Vertauschung von Konsonanten am Wortanfang mit Konsonanten in der Wortmitte ist nicht unüblich ("Spoonerismus", vgl. Hadumod Bussmann, Lexikon der Sprachwissenschaft, 2. Aufl. Stuttgart 1990, S. 696; Arnold Langenmayr, Sprachpsychologie, Göttingen 1997, S. 302; Astrid Heiter und Menekse Yurtlu, Lineare Position von Konsonanten am Wort- oder Silbenanfang, häufiger Fehler: https://www.unifrankfurt.de/fb/fb10/KogLi/ Lehrstuehle/ehem__Lehrstuhl_Leuninger/Download/Praesentationen/ Spoonerism.pdf, besucht am 4. März 2014). Ebenfalls wahrgenommen wird die gemeinsame Schlusssilbe "air". Beide Marken sind zweisilbig, wobei die Widerspruchsmarke aus den Silben "Xol" und "air" besteht, während dies bei der angefochtenen Marke die Silben "Blox" und "air" sind. Damit besteht zwischen den Zeichen auch eine Ähnlichkeit im Wortklang.</w:t>
      </w:r>
    </w:p>
    <w:p>
      <w:r>
        <w:rPr>
          <w:b/>
        </w:rPr>
        <w:t>E. 5.4</w:t>
      </w:r>
    </w:p>
    <w:p>
      <w:r>
        <w:t>Die Vorinstanz macht geltend, dass beide Zeichen als Fantasiezeichen ohne bestimmten Sinngehalt wahrgenommen würden. Die Beschwerdeführerin macht geltend, das "X" werde ohne Weiteres als Synonym für "cks" verstanden, weshalb der angefochtenen Marke der Sinngehalt "blocks air" zukomme. Der englische Ausdruck "to block" bedeutet "hemmen, hindern, blockieren, durchkreuzen, vesperren, verstopfen" (Langenscheidt Handwörterbuch Englisch, München 2005, Stichwort "block"), während "Air" die Bedeutung von "Luft" oder aber "Lied, Melodie, Weise, Arie" zukommt (Langenscheidt Handwörterbuch Englisch, München 2005, Stichwort "air"). Beide Wörter sind Teil des englischen Grundwortschatzes, der in der Schweiz verstanden wird (Pons Basiswörterbuch Schule Englisch, Stuttgart 2006, Stichworte "air" und "block"). Ob die Schweizer Verkehrskreise das "x" mit "cks" substituieren, kann aber vorliegend offen gelassen werden, da der Wortsinn "blocks air" im Zusammenhang mit pharmazeutischen Produkten nicht auf der Hand liegt und somit von den Verkehrskreisen nicht als beschreibend erkannt wird. "Xol" ist identisch mit einem seltenen Nachnamen (http://www.eduar­doxol.com/, besucht am 12. Februar 2014) und wird als Akronym für ein "Excess of Loss Agreement" im Rückversicherungswesen verwendet (http://thelawdictionary.org/excess-of-loss-xol-agreement/, besucht am12. Februar 2014). Beide Bedeutungen sind in der Schweiz nicht bekannt. Darüber hinaus hat "Xol" keine lexikalische Bedeutung. Damit erscheint die Widerspruchsmarke als reine Fantasiebezeichnung, der kein Wortsinn zukommt. Die Vorinstanz hat somit zurecht erkannt, dass die entgegenstehenden Zeichen von den Verkehrskreisen als Fantasiezeichen ohne Wortsinn verstanden werden.</w:t>
      </w:r>
    </w:p>
    <w:p>
      <w:r>
        <w:rPr>
          <w:b/>
        </w:rPr>
        <w:t>E. 6.1</w:t>
      </w:r>
    </w:p>
    <w:p>
      <w:r>
        <w:t>Die Beschwerdegegnerin schliesst zutreffend, mangels erkennbarer Anspielung im Sinngehalt sei von einer unverminderten Kennzeichnungskraft der Widerspruchsmarke auszugehen (Urteile des Bundesverwaltungsgerichts B-6012/2008 vom 25. November 2009 E. 5 Sten­flex/Starflex, B-4471/2012 vom 29. Oktober 2013 E. 7.2 Alaïa/Lalla Alia)</w:t>
      </w:r>
    </w:p>
    <w:p>
      <w:r>
        <w:rPr>
          <w:b/>
        </w:rPr>
        <w:t>E. 6.2</w:t>
      </w:r>
    </w:p>
    <w:p>
      <w:r>
        <w:t>Die Beschwerdeführerin beruft sich überdies auf die Bekanntheit der Widerspruchsmarke. Durch Gebrauch habe sie eine erhöhte Kennzeichnungskraft erlangt. Dazu legte sie bereits im vorinstanzlichen Verfahren sieben Beilagen ins Recht: Replikbeilage 1: Auszug aus dem Swissmedic Journal 09/2006, S. 894 f., 958; Mitteilung, dass Xolair Pulver und Lösungsmittel zur Herstellung einer Injektionslösung in der Schweiz zugelassen worden sei. Replikbeilage 2: Auszug aus dem Swissmedic Journal 05/2011, S. 446: Mitteilung, dass die Zulassung von Xolair Pulver zur Herstellung einer Injektionslösung verlängert worden sei. Replikbeilage 3: handelszeitung.ch, Datum unlesbar; Mitteilung, dass Xolair in Japan zugelassen worden sei. Replikbeilage 4: handelszeitung.ch, Datum unlesbar; Mitteilung, dass Xolair in der EU zugelassen worden sei. Replikbeilage 5: wirtschaft.ch, Datum unlesbar; Mitteilung, dass Xolair in den USA von der FDA zugelassen worden sei. Replikbeilage 6: google.ch vom 5. November 2012; Erste Seite mit Suchergebnissen nach dem Stichwort "Xolair" ohne Anzahl Resultate. Replikbeilage 7: google.ch vom 5. November 2012; Erste Seite mit Suchergebnissen nach dem Stichwort "Xolair", ohne sichtbare Sucheinschränkung, ohne Anzahl Resultate. Keiner der vorerwähnten Belege bezieht sich auf das Wiedererkennen der Marke durch das massgebliche Publikum oder den intensiven Gebrauch der Marke. Sie machen lediglich glaubhaft, dass die Widerspruchsmarke in mehreren Ländern registriert worden ist, nicht aber, ob damit Umsätze erzielt oder eine Marktdurchdringung erreicht wurden (E. 2.4). Überdies sind die Belege 3-5 nicht datierbar, weil die Daten unlesbar sind, und beziehen sich nicht auf die Wahrnehmung der Marke bei den Schweizer Verkehrskreisen. Auch bei den der Belegen 6-7 sind die Daten und die Anzahl Suchresultate nicht lesbar, wobei diese Belege auch aus anderen Gründen nicht zu berücksichtigen sind, denn selbst eine grosse Anzahl Suchresultate von Internet-Suchmaschinen kann die Bekanntheit einer Marke nicht glaubhaft machen (Urteil des Bundesverwaltungsgerichts B-2380/2010 vom 7. Dezember 2011 E. 8.4 LawFinder/Lexfind.ch [fig.]).</w:t>
      </w:r>
    </w:p>
    <w:p>
      <w:r>
        <w:rPr>
          <w:b/>
        </w:rPr>
        <w:t>E. 6.3</w:t>
      </w:r>
    </w:p>
    <w:p>
      <w:r>
        <w:t>Als Zwischenergebnis ist festzuhalten, dass der Widerspruchsmarke normale Kennzeichnungskraft zukommt. Da beide Marken für identische Waren beansprucht werden, ist bei der Beurteilung der Verwechslungsgefahr jedoch ein strenger Massstab anzulegen (E. 4).</w:t>
      </w:r>
    </w:p>
    <w:p>
      <w:r>
        <w:rPr>
          <w:b/>
        </w:rPr>
        <w:t>E. 7</w:t>
      </w:r>
    </w:p>
    <w:p>
      <w:r>
        <w:t>Schliesslich ist in einem wertenden Überblick zu entscheiden, ob aufgrund der Ähnlichkeit der Waren und der Zeichen eine Verwechslungsgefahr besteht (E. 2.5 f.). Aufgrund ihrer weitgehenden Übereinstimmung in den teilweise auffälligen und als solche erinnerbaren Buchstaben der ersten sowie in der identischen zweiten Silbe wird eine Verwechslungsgefahr durch die Ähnlichkeit der beiden zweisilbigen Marken im Schriftbild und Wortklang selbst bei erhöhter Aufmerksamkeit der Abnehmerkreise in Anbetracht der identischen Waren und Ermangelung eines deutlich abweichenden Sinngehalts nicht ausreichend verhindert. Die Vorinstanz hat zurecht das Bestehen einer Verwechslungsgefahr zwischen den Marken bejaht. Die Beschwerde ist daher abzuweisen.</w:t>
      </w:r>
    </w:p>
    <w:p>
      <w:r>
        <w:rPr>
          <w:b/>
        </w:rPr>
        <w:t>E. 8.1</w:t>
      </w:r>
    </w:p>
    <w:p>
      <w:r>
        <w:t>Bei diesem Ausgang des Verfahrens wird die Beschwerdeführerin kosten- und entschädigungspflichtig (Art. 63 Abs. 1 VwVG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Beschwerdeführerin aufzuerlegen und der von ihr einbezahlte Kostenvorschuss zur Bezahlung der Verfahrenskosten zu verwenden.</w:t>
      </w:r>
    </w:p>
    <w:p>
      <w:r>
        <w:rPr>
          <w:b/>
        </w:rPr>
        <w:t>E. 8.3</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Die Beschwerdeführerin hat vorliegend keine Kostennote für das Beschwerdeverfahren eingereicht. In Anbetracht des Aufwands erscheint vorliegend eine Parteientschädigung von Fr. 1'800. (inkl. Mehrwertsteuer) an die Beschwerdeführerin für das vorinstanzliche und das Beschwerdeverfahren als angemessen.</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