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B-3325/2010 vom 15. Dezember 2010</w:t>
      </w:r>
    </w:p>
    <w:p>
      <w:r>
        <w:t>Bundesverwaltungsgericht, 2010-12-15, DE</w:t>
      </w:r>
    </w:p>
    <w:p>
      <w:r>
        <w:rPr>
          <w:b/>
        </w:rPr>
        <w:t xml:space="preserve">Quelle: </w:t>
      </w:r>
      <w:r>
        <w:t>https://mcp.opencaselaw.ch/entscheid/bvger_B-3325_2010</w:t>
      </w:r>
    </w:p>
    <w:p>
      <w:r>
        <w:t>FR: TAF B-3325/2010 du 15 décembre 2010</w:t>
      </w:r>
    </w:p>
    <w:p>
      <w:r>
        <w:t>IT: TAF B-3325/2010 del 15 dicembre 2010</w:t>
      </w:r>
    </w:p>
    <w:p>
      <w:pPr>
        <w:pStyle w:val="Heading2"/>
      </w:pPr>
      <w:r>
        <w:t>Regeste</w:t>
      </w:r>
    </w:p>
    <w:p>
      <w:r>
        <w:t>Widerspruchssachen</w:t>
      </w:r>
    </w:p>
    <w:p>
      <w:pPr>
        <w:pStyle w:val="Heading2"/>
      </w:pPr>
      <w:r>
        <w:t>Erwägungen</w:t>
      </w:r>
    </w:p>
    <w:p>
      <w:r>
        <w:rPr>
          <w:b/>
        </w:rPr>
        <w:t>E. 1</w:t>
      </w:r>
    </w:p>
    <w:p>
      <w:r>
        <w:t>Das Bundesverwaltungsgericht ist für die Beurteilung der vorliegenden Streitsache zuständig (Art. 31, 32 und 33 Bst. d des Verwaltungs­ge­richtsgesetzes vom 17. Juni 2005 (VGG, SR 173.32). Die Beschwerdeführerin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 Der Inhaber einer älteren Marke kann gestützt auf Art. 3 Abs. 1 MSchG innerhalb von drei Mona­ten nach der Veröffentlichung der Eintragung Widerspruch erhe­ben (Art. 31 MSchG).</w:t>
      </w:r>
    </w:p>
    <w:p>
      <w:r>
        <w:rPr>
          <w:b/>
        </w:rPr>
        <w:t>E. 2.1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Kamillosan/Kamillan, Kamillon).</w:t>
      </w:r>
    </w:p>
    <w:p>
      <w:r>
        <w:rPr>
          <w:b/>
        </w:rPr>
        <w:t>E. 2.2</w:t>
      </w:r>
    </w:p>
    <w:p>
      <w:r>
        <w:t>Für die Beurteilung der Verwechslungsgefahr ist ausschlag­ge­bend, ob aufgrund der Ähnlichkeit Fehlzurechnungen zu befürchten sind, welche das besser berechtigte Zeichen in seiner Individualisie­rungs­funktion beeinträchtigen (BGE 127 III 160 E. 2a - Secu­ritas/Se­curicall). Von einer Verwechslungsgefahr ist nicht nur auszu­gehen, wenn die angesprochenen Verkehrskreise zwei Marken nicht aus­ei­nan­der zu halten vermögen (unmittelbare Verwechs­lungsgefahr), son­dern auch dann, wenn sie die Zeichen zwar aus­ein­ander halten können, aufgrund der Markenähnlichkeit aber falsche Zusammen­hänge vermuten, wie dass die ent­sprechend gekennzeichneten Waren oder Dienstleistungen vom glei­chen Unternehmen stammten (mittel­bare Verwechslungs­gefahr; BGE 127 III 160 E. 2a - Securi­tas/Securi­call; Gallus Joller, in: Michael G. Noth/Gregor Bühler/Florent Thouve­nin [Hrsg.], Markenschutzgesetz [MSchG], Bern 2009, Art. 3 N. 21 ff.). Eine Verwechslungsgefahr im Sinne von Art. 3 Abs. 1 Bst.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127 III 160 E. 2a - Securi­tas/Securi­call). Bei der Beur­teilung der Verwechslungsgefahr ist auf die Ähnlich­keit der Zeichen im Erinnerungsbild des Letzt­ab­nehmers abzu­stellen (BGE 121 III 378 E. 2a - Boss/Boks). Zwischen der Ähnlichkeit der Zeichen und dem Mass an Gleich­artigkeit zwischen den ge­schütz­ten Waren und Dienst­leistungen besteht eine Wechsel­wir­kung: An die Ver­schiedenheit der Zeichen sind umso höhere Anfor­derungen zu stellen, je ähnlicher die Pro­dukte sind und umge­kehrt (Lucas David, in: Kom­men­tar zum schwei­zerischen Privatrecht, Markenschutzgesetz/Mu­ster- und Modell­gesetz, Basel 1999, Art. 3 N. 8). Die Beur­tei­lung im Lichte von Art. 3 Abs. 1 MSchG richtet sich dabei nach dem Register­eintrag der Marken (Urteil des Bundesverwaltungsgerichts B-5325/2007 vom 12. Novem­ber 2007 E. 3 - Adwista/ad-vista, mit Hin­weisen; Eugen Mar­bach, in: Roland von Büren/Lucas David [Hrsg.], Schweizerisches Im­ma­terialgüter- und Wett­bewerbs­recht, Bd. III/1, Markenrecht, 2. Aufl., Basel 2009, N. 705).</w:t>
      </w:r>
    </w:p>
    <w:p>
      <w:r>
        <w:rPr>
          <w:b/>
        </w:rPr>
        <w:t>E. 2.3</w:t>
      </w:r>
    </w:p>
    <w:p>
      <w:r>
        <w:t>Je näher sich die Waren und Dienstleistungen sind, für welche die Marken registriert sind, desto grösser wird das Risiko von Verwechs­lungen und desto stärker muss sich das jüngere Zeichen vom älteren abheben, um die Verwechslungsgefahr zu bannen. Ein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 Rivella/Apiella). Neben dem Aufmerksamkeitsgrad, mit dem die Abnehmer Waren oder Dienst­leistungen nachfragen, ist auch die Kennzeichnungskraft im Rahmen der Beurteilung des Einzelfalles von wesentlicher Bedeu­tung, da diese den Schutzumfang einer Marke massgeblich beeinflusst (BGE 122 III 382 E. 2a - Kamillosan/Kamillan, Kamillon; Jol­ler, a.a.O., Art. 3 N. 69 ff.). Der geschützte Ähnlichkeits­be­reich für schwa­che Mar­ken ist kleiner als für starke. Bei schwachen Marken genügen daher bereits beschei­denere Abwei­chungen, um eine aus­reichende Unter­scheid­bar­keit zu bewirken (BGE 122 III 382 E. 2a - Kamillosan/ Kamillon, Kamillan). Stark sind Marken, die entweder auf­grund ihres fantasie­haften Gehalts auffallen oder aber sich im Verkehr durchge­setzt haben (BGE 122 III 382 E. 2a - Kamillo­san/Kamil­lon, Kamillan mit Hinweisen; Marbach, a.a.O., N. 979). Als schwach gelten demge­gen­über Marken, die sich eng an Sachbegriffe des allgemeinen Sprach­ge­brauchs anlehnen oder durch eine allge­mein gebräuchlichen Bezeich­nung für die in Frage stehen­den Waren und Dienstleistungen geprägt werden (Urteil des Bundesverwaltungsgerichts B-5440/2008 vom 24. Juli 2009 E. 6.2 - jump[fig.]/Jumpman; Mar­bach, a.a.O., N. 976 ff.; Jol­ler, a.a.o., Art. 3 N. 86 ff.).</w:t>
      </w:r>
    </w:p>
    <w:p>
      <w:r>
        <w:rPr>
          <w:b/>
        </w:rPr>
        <w:t>E. 2.4</w:t>
      </w:r>
    </w:p>
    <w:p>
      <w:r>
        <w:t>Die Markenähnlichkeit beurteilt sich nach dem Gesamteindruck, den die Marken in der Erinnerung der angesprochenen Verkehrskreise hinterlassen (BGE 121 III 377 E. 2a - Boss/Boks). Der Gesamteindruck wird bei Wortmarken durch den Klang, das Schriftbild und den Sinngehalt bestimmt. Den Klang prägen das Silbenmass, die Ausspra­chekadenz und die Aufeinanderfolge der Vokale, während das Schriftbild vor allem durch die Wortlänge und die Eigenheiten der verwen­de­ten Buchstaben gekennzeichnet wird. Schliesslich ist zu beachten, dass der Wortanfang beziehungsweise der Wortstamm und die En­dung in der Re­gel grössere Beachtung finden als dazwischen gescho­be­ne, unbetonte weitere Silben (BGE 127 III 160 E. 2b/cc - Se­curi­tas/Se­curi­call; Entscheid der Eidgenössischen Rekurskommission für Geistiges Eigentum [RKGE] vom 20. August 2002, Zeitschrift für Im­material­güter-, Informations- und Wettbewerbsrecht [sic!] 2002, S. 756 f., E. 7 - Bally/Ball [fig.]; Joller, a.a.O., Art. 3 N. 130 ff.). Bereits die Nähe auf einer der genannten Beurteilungsebenen kann genügen, um auf Zeichenähnlichkeit zu schliessen (RKGE vom 7. Juni 2000, sic! 2001, 133, E. 3 - Otor/Artor). Bestehen auf meh­reren Ebe­nen Ähnlichkeiten, so verstärkt dies die Ähnlichkeit. Anderer­seits kann die Ähn­lich­keit auf einer Ebene durch klare Unterschiede auf einer anderen Ebene neutralisiert werden, so beispielsweise ein ähnlicher Wortklang durch einen klar abweichenden Sinngehalt (Eugen Marbach, a.a.O., N. 875).</w:t>
      </w:r>
    </w:p>
    <w:p>
      <w:r>
        <w:rPr>
          <w:b/>
        </w:rPr>
        <w:t>E. 3</w:t>
      </w:r>
    </w:p>
    <w:p>
      <w:r>
        <w:t>Die fraglichen Marken sind aus der Sicht der Käuferschaft der ent­sprechenden Konsumgüter zu beurteilen. Die bezeichneten Waren rich­ten sich vorwiegend an das allgemeine Publi­kum. Vorliegend ist unbestritten, dass die beanspruchten Waren der sich gegenüber stehenden Marken weitgehend identisch sind (vgl. Sach­verhalt A. und B. sowie E. 2.3), weshalb die Verwechslungsgefahr streng zu beurteilen ist (BGE 122 III 387 E. 3 - Kamillo­san/Kamil­lon, Kamillan; vgl. E. 2.2 f.).</w:t>
      </w:r>
    </w:p>
    <w:p>
      <w:r>
        <w:rPr>
          <w:b/>
        </w:rPr>
        <w:t>E. 4</w:t>
      </w:r>
    </w:p>
    <w:p>
      <w:r>
        <w:t>Ausgehend von der Warengleichartigkeit sind die beiden Marken nun auf ihre Zeichenähnlichkeit und Verwechselbarkeit hin zu überprüfen (vgl. E. 2.4).</w:t>
      </w:r>
    </w:p>
    <w:p>
      <w:r>
        <w:rPr>
          <w:b/>
        </w:rPr>
        <w:t>E. 4.1</w:t>
      </w:r>
    </w:p>
    <w:p>
      <w:r>
        <w:t>Die Widerspruchsmarke und die angefochtene Marke sind Wort­marken. Sie weisen die gleiche Anzahl Buchstaben auf und stimmen in den letzten vier Buchstaben -ALLY überein. Sie unterscheiden sich so­mit lediglich im Anfangsbuchstaben B bzw. T.</w:t>
      </w:r>
    </w:p>
    <w:p>
      <w:r>
        <w:rPr>
          <w:b/>
        </w:rPr>
        <w:t>E. 4.2</w:t>
      </w:r>
    </w:p>
    <w:p>
      <w:r>
        <w:t>In Bezug auf den Sinngehalt der strittigen Marken hat die Vor­instanz ausgeführt, dass die Marke BALLY aus einem Fa­milien­namen besteht. Entgegen ihren Ausführungen erscheint indessen zweifelhaft, ob dieser Hintergrund der Marke für den massgebenden Abnehmer­kreis wirklich erkennbar ist. Mindestens ebenso naheliegend ist viel­mehr, dass die Marke als Phantasiemarke verstanden wird, bei wel­cher es sich um eine Abwandlung der englischsprachigen Worte "Ball" oder "Ballsy" handeln könnte. Für den massgebenden Abnehmerkreis dürfte ebenso wenig erkennbar sein, dass die Marke TALLY aus dem Vornamen der Firmen­gründerin besteht. Der Sinngehalt beider Mar­ken bleibt damit für den durchschnittlichen Konsumenten unklar; es kann nicht von einem klar erkennbaren unterschiedlichen Sinngehalt aus­ge­gangen werden.</w:t>
      </w:r>
    </w:p>
    <w:p>
      <w:r>
        <w:rPr>
          <w:b/>
        </w:rPr>
        <w:t>E. 4.3</w:t>
      </w:r>
    </w:p>
    <w:p>
      <w:r>
        <w:t>Die Vorinstanz bejahte die Ähnlichkeit der fraglichen Marken so­wohl in schriftbildlicher als auch in klanglicher Hinsicht. Demgegen­über würde die Verschiedenheit der Konsonanten B und T kaum ins Gewicht fallen. Diese seien klangschwach und nicht geeignet, die bei­den Marken im mündlichen Verkehr (vor allem bei nicht sehr deutlicher Aussprache) klar auseinanderzuhalten. Dieser Auffassung ist aus nach­folgenden Gründen zuzustimmen:</w:t>
      </w:r>
    </w:p>
    <w:p>
      <w:r>
        <w:rPr>
          <w:b/>
        </w:rPr>
        <w:t>E. 4.4</w:t>
      </w:r>
    </w:p>
    <w:p>
      <w:r>
        <w:t>Das Schriftbild der beiden Marken präsentiert sich mit Ausnahme des Anfangsbuchstabens gleich; Silbenanzahl und Wortlänge von TALLY und BALLY stimmen überein. Die Konsonanten B und T ver­fügen zwar beide über einen senkrechten Strich, doch fügen sich beim B un­mittel­bar daran zwei Bogen an, während das T lediglich einen waag­rechten darüber liegenden Strich aufweist. Der schrift­bild­liche Unter­schied zwischen B und T ist jedoch unter Be­rück­sich­tigung der bisherigen Rechtsprechung (RKGE vom 28. Juni 2005, sic! 2005, 754 ff., E. 8 - Gabel/Kabel 1; RKGE vom 15. Juli 1999, E. 4 - Bico/Hico, auszugsweise publiziert in sic! 1999, 566 ff.) als marginal ein­zu­stufen; zumindest besteht diesbezüglich eine grosse Ähnlichkeit.</w:t>
      </w:r>
    </w:p>
    <w:p>
      <w:r>
        <w:rPr>
          <w:b/>
        </w:rPr>
        <w:t>E. 4.5</w:t>
      </w:r>
    </w:p>
    <w:p>
      <w:r>
        <w:t>Die ange­foch­tene Marke wird "TA-LLY", die Wider­spruchs­marke "BA-LLY" aus­ge­spro­chen. Vokalfolge und Aussprachekadenz sind zwar iden­tisch, doch wird der Anfangs­buchstabe T mit der Zunge und dem Gau­men ge­bildet, was eine harte Klangfolge bewirkt, während der An­fangs­buch­stabe B mit den Lippen gebildet und entsprechend weicher aus­ge­spro­chen wird. Insofern sind die beiden Marken phone­tisch voneinander abgegrenzt. Weiter ist zu beachten, dass ge­mäss stän­di­ger Recht­sprechung dem Wortanfang erhöhte Bedeutung zu­kommt, weil er in der Regel besser im Ge­dächtnis haften bleibt (BGE 127 III 160 E. 2b/cc - Se­curi­tas/Se­curi­call; vgl. E. 2.4). Es handelt sich dabei je­doch lediglich um ein Indiz, wel­ches sich schematischer An­wendung entzieht und im Einzelfall ohne Weiteres eine abweichende Be­ur­teilung zulässt (RKGE vom 7. Juni 2000, sic! 2001, 133, E. 4 - Otor/Artor). Eine solch differenzierte Sichtweise drängt sich im vor­lie­gen­den Fall auf, weil der, beiden Marken gemeinsamen, Endung "ALLY" prägendes Gewicht zukommt und die marginalen Unterschiede in Schrift­bild und Aussprache da­durch in den Hintergrund treten.</w:t>
      </w:r>
    </w:p>
    <w:p>
      <w:r>
        <w:rPr>
          <w:b/>
        </w:rPr>
        <w:t>E. 4.6</w:t>
      </w:r>
    </w:p>
    <w:p>
      <w:r>
        <w:t>Daraus ergibt sich zusammenfassend, dass, obschon gewisse Unter­schiede in Schriftbild und Aussprache bestehen, die Buch­sta­ben­folge "ALLY" dominiert und die fraglichen Marken bei den ange­spro­che­nen Ver­kehrs­kreisen keinen deutlich ver­schie­de­nen Ge­samtein­druck (An­wen­dung eines strengen Beurteilungsmassstabs, vgl. E. 3) hinter­lassen, zumal TALLY und BALLY nicht über einen klar erkenn­baren unter­schiedlichen Sinngehalt verfügen (vgl. E. 4.2). Die Marken er­wei­sen sich daher ge­samt­haft betrachtet als nicht ge­nügend unter­schei­dungs­kräftig. Dies gilt gleicher­massen im Fran­zösi­schen sowie im Italieni­schen. Dies steht im Einklang mit der bisherigen Rechtsprechung (BGE 126 III 315 - Rivella/Apiella; Urteil des Bundesverwaltungsgerichts B-7438/2006 vom 10. Mai 2007 - Cellini [fig.]/Elini [fig.]; RKGE vom 28. Ju­ni 2005, sic! 2005, 754 ff. - Gabel/Kabel 1; RKGE vom 13. Au­gust 2004, sic! 2004, 927 ff. - Ecofin/Icofin [fig.]; RKGE vom 20. Au­gust 2002, sic! 2002, 756 f. - Bally/Ball [fig.]; RKGE vom 7. Juni 2000, sic! 2001, 133 - Otor/Artor; RKGE vom 15. Juli 1999, sic! 1999, 566 ff. - Bico/Hico; RKGE vom 21. März 1995, Schweizerische Mitteilungen über Immaterialgüterrecht [SMI] 1995, 311 ff. - Bally/Sali) und es be­steht vorliegend kein Anlass, von dieser Rechtsprechung abzu­wei­chen.</w:t>
      </w:r>
    </w:p>
    <w:p>
      <w:r>
        <w:rPr>
          <w:b/>
        </w:rPr>
        <w:t>E. 5</w:t>
      </w:r>
    </w:p>
    <w:p>
      <w:r>
        <w:t>Zusammenfassend ergibt sich, dass vorliegend eine Ver­wechslungs­ge­fahr im Sinne von Art. 3 Abs. 1 Bst. c MSchG besteht. Die Be­schwer­de erweist sich daher als unbegründet und ist abzuweisen.</w:t>
      </w:r>
    </w:p>
    <w:p>
      <w:r>
        <w:rPr>
          <w:b/>
        </w:rPr>
        <w:t>E. 6</w:t>
      </w:r>
    </w:p>
    <w:p>
      <w:r>
        <w:t>Bei diesem Ausgang des Verfahrens wird die Beschwerdeführerin kosten- und entschädigungspflichtig (Art. 63 Abs. 1 und Art. 64 Abs. 1 VwVG).</w:t>
      </w:r>
    </w:p>
    <w:p>
      <w:r>
        <w:rPr>
          <w:b/>
        </w:rPr>
        <w:t>E. 6.1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Bundesverwaltungsgericht ist dafür ein Streitwert zu ver­an­schlagen (Art. 4 VGKE), wobei dafür im Widerspruchsbe­schwerde­verfahren das Inter­esse der Widersprechenden an der Löschung, bzw. der Widerspruchsgegnerin am Be­stand der angefochtenen Mar­ke zu ver­an­schlagen ist. Es würde allerdings zu weit führen, wenn dafür im Ein­zel­fall stets konkrete Auf­wandsnachweise verlangt wür­den. Mangels anderer streitwertrelevanter Angaben ist der Streitwert darum nach Erfahrungswerten auf einen Betrag zwischen Fr. 50'000.- und Fr. 100'000.- festzulegen (BGE 133 III 490 E. 3.3, mit Hinweisen). Von diesem Erfahrungswert ist auch im vorliegenden Verfahren auszu­gehen. Daraus ergeben sich Verfahrenkosten von Fr. 3'000.-, die der unterliegenden Beschwerdeführerin aufzuerlegen sind. Der den Kosten­vorschuss in Höhe von Fr. 4'000.- über­steigende Betrag von Fr. 1'000.- ist der Beschwerdeführerin zurückzu­er­statten.</w:t>
      </w:r>
    </w:p>
    <w:p>
      <w:r>
        <w:rPr>
          <w:b/>
        </w:rPr>
        <w:t>E. 6.2</w:t>
      </w:r>
    </w:p>
    <w:p>
      <w:r>
        <w:t>Der obsiegenden Partei kann von Amtes wegen oder auf Antrag eine Entschädigung für die ihr erwachsenen notwendigen Kosten zu­lasten der Beschwerdegegnerin zugesprochen werden (Art. 64 Abs. 1 VwVG i.V.m. Art. 7 Abs. 1 VKGE.). Die Parteientschädigung umfasst die Kosten der Vertretung sowie allfällige weitere notwendige Auslagen der Partei (Art. 8 VGKE). Gemäss Art. 14 VGKE setzt das Gericht die Parteientschädigung aufgrund einer detaillierten Kostennote fest, so­fern eine solche eingereicht wird. Vor­liegend hat die Beschwerde­geg­nerin mit Eingabe vom 18. Juni 2010 eine solche ein­ge­reicht, die sich auf ein anwaltliches Honorar in Höhe von Fr. 3'800.- (pauschal für die Durchsicht der Beschwerde und die Ausarbeitung sowie Einreichung der Beschwerdeantwort) be­läuft. Ange­sichts der durchschnittlichen Kom­plexität dieses Wider­spruchs­ver­fahrens erscheint dies ange­mes­sen. Damit ist der Beschwerdeführerin eine Partei­ent­schädigung von ins­gesamt Fr. 4'088.80, bestehend aus einem Hono­rar in Höhe von Fr. 3'800.-, zuzüglich Fr. 288.80.- Mehr­wertsteuer (7.6 %), auf­zuerle­gen.</w:t>
      </w:r>
    </w:p>
    <w:p>
      <w:r>
        <w:rPr>
          <w:b/>
        </w:rPr>
        <w:t>E. 7</w:t>
      </w:r>
    </w:p>
    <w:p>
      <w:r>
        <w:t>Entscheide, die im Rahmen eines Widerspruchsverfahrens gegen eine Marke getroffen worden sind, sind nach Art. 73 des Bundes­gerichts­gesetzes vom 17. Juni 2005 (BGG, SR 173.110) nicht an das Bundes­gericht weiterziehbar. Das vorliegende Urteil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