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B-3262/2014 vom 3. September 2014</w:t>
      </w:r>
    </w:p>
    <w:p>
      <w:r>
        <w:t>Bundesverwaltungsgericht, 2014-09-03, DE</w:t>
      </w:r>
    </w:p>
    <w:p>
      <w:r>
        <w:rPr>
          <w:b/>
        </w:rPr>
        <w:t xml:space="preserve">Quelle: </w:t>
      </w:r>
      <w:r>
        <w:t>https://mcp.opencaselaw.ch/entscheid/bvger_B-3262_2014</w:t>
      </w:r>
    </w:p>
    <w:p>
      <w:r>
        <w:t>FR: TAF B-3262/2014 du 3 septembre 2014</w:t>
      </w:r>
    </w:p>
    <w:p>
      <w:r>
        <w:t>IT: TAF B-3262/2014 del 3 settembre 2014</w:t>
      </w:r>
    </w:p>
    <w:p>
      <w:pPr>
        <w:pStyle w:val="Heading2"/>
      </w:pPr>
      <w:r>
        <w:t>Regeste</w:t>
      </w:r>
    </w:p>
    <w:p>
      <w:r>
        <w:t>Landwirtschaft (Übriges)</w:t>
      </w:r>
    </w:p>
    <w:p>
      <w:pPr>
        <w:pStyle w:val="Heading2"/>
      </w:pPr>
      <w:r>
        <w:t>Erwägungen</w:t>
      </w:r>
    </w:p>
    <w:p>
      <w:r>
        <w:rPr>
          <w:b/>
        </w:rPr>
        <w:t>E. 1</w:t>
      </w:r>
    </w:p>
    <w:p>
      <w:r>
        <w:t>Ob die Prozessvoraussetzungen vorliegen und auf eine Beschwerde einzutreten ist, hat das Bundesverwaltungsgericht von Amtes wegen und mit freier Kognition zu prüfen.</w:t>
      </w:r>
    </w:p>
    <w:p>
      <w:r>
        <w:rPr>
          <w:b/>
        </w:rPr>
        <w:t>E. 1.1</w:t>
      </w:r>
    </w:p>
    <w:p>
      <w:r>
        <w:t>Die vorliegende Beschwerde richtet sich gegen den Beschwerdeentscheid der Vorinstanz vom 12. Mai 2014. Dabei handelt es sich um eine Verfügung im Sinne von Art. 5 Abs. 2 des Verwaltungsverfahrensgesetzes vom 20. Dezember 1968 (VwVG, SR 172.021).</w:t>
      </w:r>
    </w:p>
    <w:p>
      <w:r>
        <w:rPr>
          <w:b/>
        </w:rPr>
        <w:t>E. 1.2</w:t>
      </w:r>
    </w:p>
    <w:p>
      <w:r>
        <w:t>Das Bundesverwaltungsgericht beurteilt unter anderem Beschwerden gegen Verfügungen letzter kantonaler Instanzen, soweit ein Bundesgesetz dies entsprechend vorsieht (vgl. Art. 31 i.V.m. Art. 33 Bst. i des Verwaltungsgerichtsgesetzes vom 17. Juni 2005 [VGG, SR 173.32]). Das Landwirtschaftsgesetz sieht eine entsprechende Anfechtungsmöglichkeit vor gegen Entscheide letzter kantonaler Instanzen, die in Anwendung des Landwirtschaftsgesetzes und seiner Ausführungsbestimmungen ergangen sind (vgl. Art. 166 Abs. 2 des Landwirtschaftsgesetzes vom 29. April 1998 [LwG, SR 910.1]). Ausgenommen sind lediglich kantonale Verfügungen über Strukturverbesserungen, die mit Beiträgen unterstützt werden. Die Vorinstanz ist die letzte kantonale Instanz (vgl. § 54 Abs. 1 des Verwaltungsrechtspflegegesetzes des Kantons Thurgau vom 23. Februar 1981 [RB-Nr. 170.1]). Mit dem im vorliegenden Fall angefochtenen Beschwerdeentscheid wurde der Rekurs des Beschwerdeführers gegen den Entscheid der Erstinstanz abgewiesen, worin die Erstinstanz entschieden hatte, dass das auf der Parzelle Nr. (...), Grundbuch L._______, angemerkte Zerstückelungsverbot nicht gelte. Der angefochtene Beschwerdeentscheid erging somit in Anwendung des Landwirtschaftsgesetzes und hat keine Subventionierung einer Strukturverbesserung zum Gegenstand. Das Bundesverwaltungsgericht ist daher zur Behandlung der vorliegenden Beschwerde zuständig.</w:t>
      </w:r>
    </w:p>
    <w:p>
      <w:r>
        <w:rPr>
          <w:b/>
        </w:rPr>
        <w:t>E. 1.3</w:t>
      </w:r>
    </w:p>
    <w:p>
      <w:r>
        <w:t>Das zuständige Bundesamt ist berechtigt, gegen Verfügungen der kantonalen Behörden in Anwendung des Landwirtschaftsgesetzes und seiner Ausführungserlasse die Rechtsmittel des kantonalen und des eidgenössischen Rechts zu ergreifen (Art. 166 Abs. 3 LwG i.V.m. Art. 48 Abs. 2 VwVG).</w:t>
      </w:r>
    </w:p>
    <w:p>
      <w:r>
        <w:rPr>
          <w:b/>
        </w:rPr>
        <w:t>E. 1.4</w:t>
      </w:r>
    </w:p>
    <w:p>
      <w:r>
        <w:t>Die Eingabefrist sowie die Anforderungen an Form und Inhalt der Beschwerdeschrift sind gewahrt und die übrigen Sachurteilsvoraussetzungen liegen vor.</w:t>
      </w:r>
    </w:p>
    <w:p>
      <w:r>
        <w:rPr>
          <w:b/>
        </w:rPr>
        <w:t>E. 1.5</w:t>
      </w:r>
    </w:p>
    <w:p>
      <w:r>
        <w:t>Auf die Beschwerde ist daher einzutreten.</w:t>
      </w:r>
    </w:p>
    <w:p>
      <w:r>
        <w:rPr>
          <w:b/>
        </w:rPr>
        <w:t>E. 2</w:t>
      </w:r>
    </w:p>
    <w:p>
      <w:r>
        <w:t>Der Beschwerdeführer rügt, der angefochtene Entscheid stehe im Widerspruch zu einer korrekten wörtlichen, historischen und teleologischen Auslegung von Art. 102 Abs. 1 LwG. Das in Art. 102 LwG verankerte Zerstückelungsverbot sei nicht auf 20 Jahre befristet, sondern gelte unbefristet. Art. 102 Abs. 1 LwG lasse sich nicht entnehmen, dass die zeitliche Geltung des Zerstückelungsverbots auf 20 Jahre begrenzt sei. Die beiden Teile - ..."dürfen während 20 Jahren"... "nicht entfremdet werden" - würden darauf hindeuten, dass sie zusammen gehörten. Demgegenüber werde in dem mit "zudem" beginnenden, durch Komma abgetrennten zweiten Satzteil keine Dauer genannt. Zudem handle es sich um einen eigenständigen Satz, der an sich - wie in der französischen und italienischen Fassung dieser Bestimmung - mit Strichpunkt oder Punkt abgetrennt werden müsste. Es sei daher von der unbefristeten Geltungsdauer des Zerstückelungsverbots auszugehen. Dies ergebe sich auch aus der historischen Auslegung. In der Botschaft zur Reform der Agrarpolitik 2002 vom 26. Juni 1996 stehe, dass aus Gründen der Praktikabilität die Dauer des Zweckentfremdungs- und Zerstückelungsverbots auf 20 Jahre nach der Schlusszahlung beschränkt sei. Damit werde zum Ausdruck gebracht, dass die Rückzahlungspflicht sowohl bei der Zweckentfremdung wie auch bei der Zerstückelung nach 20 Jahren ende, nicht aber das Verbot der Zerstückelung an sich. Indem in Art. 35 Abs. 5 der Strukturverbesserungsverordnung vom 7. Dezember 1998 (SVV, SR 913.1) einzig der Tatbestand der Zweckentfremdung sowie die Rückerstattungspflicht (auch bei der Zerstückelung) auf 20 Jahre befristet würden, sei die Vorgabe von Art. 102 Abs. 1 LwG korrekt auf Verordnungsstufe umgesetzt worden. In teleologischer Hinsicht sei die Auffassung des Bundesverwaltungsgerichts, dass dem Zerstückelungsverbot im Vergleich zum Zweckentfremdungsverbot lediglich sekundäre Bedeutung zukomme, unzutreffend. Vielmehr sei es von grosser Bedeutung, dass nicht bereits nach 20 Jahren wieder Land zerstückelt werde, ohne dass ein wichtiger Grund vorliege. Gerade durch Erbteilung bestehe die grosse Gefahr einer erneuten Zerstückelung der meliorierten Grundstücke, ohne dass grundsätzlich die landwirtschaftliche Bewirtschaftung (also keine Zweckentfremdung) aufgegeben werde. Auf lange Sicht müsse damit gerechnet werden, dass die neu entstandenen Parzellen von verschiedenen Landwirten bewirtschaftet würden, die Einheit dahinfalle, was dem ursprünglichen Ziel der Zusammenlegung, einer rationellen Bewirtschaftung der Grundstücke, entgegenstehe. Der angefochtene Entscheid stehe auch im Widerspruch zur bisherigen Rechtsprechung zum Zerstückelungsverbot. Die Frage der unbefristeten Dauer des Zerstückelungsverbots sei weder auf kantonaler noch auf Bundesstufe vor 1999 oder danach explizit ein Thema gewesen, woraus sich ergebe, dass die unbefristete Geltung des Zerstückelungsverbots an sich unbestritten sei. Demgegenüber bilde die Frage, ob allenfalls ein wichtiger Grund für die Bewilligung einer Zerstückelung gegeben sei, häufig Gegenstand gerichtlicher Auseinandersetzungen. Das Bundesgericht habe in einem Urteil festgehalten, dass das Zerstückelungsverbot gemäss Art. 35 Abs. 6 (recte Absatz 3) unbefristet bestehe (Urteil des Bundesgerichts 1A.36/2001 vom 29. Januar 2002 E. 3.1). In seinem Rückweisungsurteil vom 2. September 2013 kam das Bundesverwaltungsgericht nach ausführlicher Darlegung zum Schluss, bei der Auslegung des Wortlauts von Art. 102 Abs. 1 LwG sei der Auffassung zuzustimmen, wonach die Dauer von 20 Jahren auch für das Zerstückelungsverbot gelte (vgl. Urteil des Bundesverwaltungsgericht B-5178/2012 vom 2. September 2013 E. 4.4). Dementsprechend wies es die Sache an die Erstinstanz zurück, damit diese abkläre, wann die relevante Schlusszahlung des Bundes im Rahmen der Güterzusammenlegung L._______ erfolgte und anschliessend, unter Berücksichtigung, dass das Zerstückelungsverbot gemäss Art. 102 LwG 20 Jahre nach dieser Schlusszahlung abgelaufen sei, erneut über die Frage verfüge, ob das Zerstückelungsverbot im vorliegenden Fall noch gelte und dem Pächtervorkaufsrecht entgegen stehe oder nicht (vgl. Urteil des Bundesverwaltungsgericht B-5178/2012 vom 2. September 2013 E. 4.5). Durch den Verweis im Urteilsdispositiv auf die Erwägungen hat auch die Anweisung an die Erstinstanz, bei ihrem neuen Entscheid zu berücksichtigen, dass das Zerstückelungsverbot 20 Jahre nach der Schlusszahlung abgelaufen sei, an der Bindungswirkung des Dispositivs teil. Nicht nur die Vorinstanzen, sondern auch das Bundesverwaltungsgericht ist unter Vorbehalt eigentlicher Revisionsgründe an sein eigenes Urteil gebunden. Es besteht für das Bundesverwaltungsgericht daher kein Anlass, seine Schlussfolgerungen in seinem eigenen Urteil vom 2. September 2013 zu hinterfragen oder nochmals zu begründen (vgl. Urteil des Bundesverwaltungsgericht B-253/2012 vom 8. März 2012 E. 4.2). Auf die vom Beschwerdeführer vorgebrachten Rügen, der angefochtene Entscheid entspreche nicht einer korrekten wörtlichen, historischen und teleologischen Auslegung von Art. 102 Abs. 1 LwG, ist daher nicht weiter einzugehen.</w:t>
      </w:r>
    </w:p>
    <w:p>
      <w:r>
        <w:rPr>
          <w:b/>
        </w:rPr>
        <w:t>E. 2.1</w:t>
      </w:r>
    </w:p>
    <w:p>
      <w:r>
        <w:t>In sachverhaltlicher Hinsicht ist unbestritten, dass die relevante Schlusszahlung des Bundes im Rahmen der Güterzusammenlegung L._______mehr als 20 Jahre vor dem in Frage stehenden Vorkaufsfall erfolgte.</w:t>
      </w:r>
    </w:p>
    <w:p>
      <w:r>
        <w:rPr>
          <w:b/>
        </w:rPr>
        <w:t>E. 2.2</w:t>
      </w:r>
    </w:p>
    <w:p>
      <w:r>
        <w:t>Die Vorinstanzen sind daher zu Recht zum Schluss gelangt, dass das Zerstückelungsverbot im vorliegenden Fall nicht mehr galt und dem Pächtervorkaufsrecht nicht mehr entgegen stehen konnte.</w:t>
      </w:r>
    </w:p>
    <w:p>
      <w:r>
        <w:rPr>
          <w:b/>
        </w:rPr>
        <w:t>E. 3</w:t>
      </w:r>
    </w:p>
    <w:p>
      <w:r>
        <w:t>Im Ergebnis erweist sich die Beschwerde demnach als offensichtlich unbegründet.</w:t>
      </w:r>
    </w:p>
    <w:p>
      <w:r>
        <w:rPr>
          <w:b/>
        </w:rPr>
        <w:t>E. 4</w:t>
      </w:r>
    </w:p>
    <w:p>
      <w:r>
        <w:t>Bei diesem Verfahrensausgang gilt der Beschwerdeführer als unterliegend. Beschwerdeführenden und unterliegenden Bundesbehörden werden indessen keine Kosten auferlegt (vgl. Art. 63 Abs. 2 VwVG).</w:t>
      </w:r>
    </w:p>
    <w:p>
      <w:r>
        <w:rPr>
          <w:b/>
        </w:rPr>
        <w:t>E. 5</w:t>
      </w:r>
    </w:p>
    <w:p>
      <w:r>
        <w:t>Die Beschwerdeinstanz kann der ganz oder teilweise obsiegenden Partei von Amtes wegen oder auf Begehren eine Parteientschädigung für ihr erwachsene notwendige und verhältnismässig hohe Kosten zusprechen (vgl. Art. 64 Abs. 1 VwVG und Art. 7 Abs. 1 des Reglements vom 21. Februar 2008 über die Kosten und Entschädigungen vor dem Bundesverwaltungsgericht [VGKE, SR 173.320.2]). Der Beschwerdegegner ist als obsiegend anzusehen. Er war im vorliegenden Verfahren anwaltlich vertreten, hat indessen keine Kostennote eingereicht, weshalb die ihm zuzusprechende Parteientschädigung aufgrund der Akten festzusetzen ist (vgl.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