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B-3235/2025 vom 19. Februar 2025</w:t>
      </w:r>
    </w:p>
    <w:p>
      <w:r>
        <w:t>Bundesverwaltungsgericht, 2025-02-19, DE</w:t>
      </w:r>
    </w:p>
    <w:p>
      <w:r>
        <w:rPr>
          <w:b/>
        </w:rPr>
        <w:t xml:space="preserve">Quelle: </w:t>
      </w:r>
      <w:r>
        <w:t>https://mcp.opencaselaw.ch/entscheid/bvger_B-3235_2025_d20250219</w:t>
      </w:r>
    </w:p>
    <w:p>
      <w:r>
        <w:t>FR: TAF B-3235/2025 du 19 février 2025</w:t>
      </w:r>
    </w:p>
    <w:p>
      <w:r>
        <w:t>IT: TAF B-3235/2025 del 19 febbraio 2025</w:t>
      </w:r>
    </w:p>
    <w:p>
      <w:pPr>
        <w:pStyle w:val="Heading2"/>
      </w:pPr>
      <w:r>
        <w:t>Regeste</w:t>
      </w:r>
    </w:p>
    <w:p>
      <w:r>
        <w:t>Verfahrensfragen, Publikationen, usw. | Kostenentscheid im Verfahren B-787/2014 nach Rückweisung durch das Bundesgericht (Urteil 2C_81/2023 vom 19. Februar 2025)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A._______, (…),</w:t>
      </w:r>
    </w:p>
    <w:p>
      <w:r>
        <w:rPr>
          <w:b/>
        </w:rPr>
        <w:t>E. 2</w:t>
      </w:r>
    </w:p>
    <w:p>
      <w:r>
        <w:t>Dezember 2013 mit Bezug auf die Beschwerdeführerinnen wie folgt neu fasste (Dispositiv-Ziffer 2): " A._______ wird für ihre Beteiligung an zwei – nach Art. 8 Abs. 1 LVA in Verbindung mit Art. 5 Abs. 1 und Abs. 3 lit. a KG unzulässigen – Preisabreden (1) betreffend die Treibstoffzuschläge sowie (2) betref- fend die Verweigerung der Kommissionierung von Zuschlägen (je er- folgt bis Februar 2006) gestützt auf Art. 49a KG mit einem Verwaltungs- sanktionsbetrag von Fr. 1'449'379.50 belastet." dass das Bundesgericht abgesehen von dieser Sanktionskürzung das Ur- teil des Bundesverwaltungsgerichts weitgehend schützte und die Be- schwerde im Übrigen abwies (Dispositiv-Ziffer 3) unter Rückweisung der Angelegenheit an das Bundesverwaltungsgericht zur Neuverlegung der Kosten- und Entschädigungsfolgen des bundesverwaltungsgerichtlichen Verfahrens (Dispositiv-Ziffer 4); dass daher im vorliegenden Verfahren lediglich über die Kosten- und Ent- schädigungsfolgen im Verfahren B-787/2014 neu zu befinden ist; dass das Bundesgericht im Rückweisungsurteil (E. 12.5) – in Anbetracht der als zu lange erachteten Dauer des Verfahrens B-787/2014 – einzig eine Kürzung der Sanktion im Umfang von 25 % (d. h. um 2/8) vornahm und den vom Bundesverwaltungsgericht korrekt gekürzten Sanktionsbetrag von Fr. 1'932'506.– (E. 11.4) auf den Betrag von Fr. 1'449'379.50 reduzierte (E. 12.5), ohne indessen die Verfahrenskosten des Untersuchungsverfah- rens – über die vom Bundesverwaltungsgericht bereits richtig vorgenom- mene Reduktion hinaus – zu kürzen (E. 12.3);</w:t>
      </w:r>
    </w:p>
    <w:p>
      <w:r>
        <w:t>B-3235/2025 Seite 4 dass die Beschwerdeführerinnen insofern im Sinne der bundesgerichtli- chen Erwägungen in einem um 2/8 höheren Umfang als obsiegende Par- teien zu betrachten sind, weshalb die Verfahrenskosten von Fr. 12'000.– auf Fr. 9'000.– zu reduzieren sind; dass diese Verfahrenskosten mit dem geleisteten Kostenvorschuss von Fr. 19'000.– verrechnet werden, weshalb den Beschwerdeführerinnen der Restbetrag von Fr. 10'000.– nach Eintritt der Rechtskraft des vorliegenden Urteils zurückzuerstatten sein wird; dass entsprechend den bundesgerichtlichen Vorgaben die vom Bundes- verwaltungsgericht im Verfahren B-787/2014 ermessensweise gespro- chene reduzierte Parteientschädigung von Fr. 27'000.– um 2/8 auf Fr. 33'750.– zu erhöhen ist; dass die WEKO als verfügende Behörde zu verpflichten ist, den Beschwer- deführerinnen diesen Betrag als Parteientschädigung zu entrichten (Art. 64 Abs. 2 VwVG); dass für den vorliegenden Kostenentscheid keine Kosten aufzuerlegen sind (Art. 63 Abs. 2 VwVG) und von einer Parteientschädigung abzusehen ist (Art. 64 Abs. 1 VwVG i.V.m. Art. 7 Abs. 4 VGKE).</w:t>
      </w:r>
    </w:p>
    <w:p>
      <w:r>
        <w:t>(Das Dispositiv folgt auf der nächsten Seite)</w:t>
      </w:r>
    </w:p>
    <w:p>
      <w:r>
        <w:t>B-3235/2025 Seite 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