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B-3116/2008 vom 29. Mai 2008</w:t>
      </w:r>
    </w:p>
    <w:p>
      <w:r>
        <w:t>Bundesverwaltungsgericht, 2008-05-29, DE</w:t>
      </w:r>
    </w:p>
    <w:p>
      <w:r>
        <w:rPr>
          <w:b/>
        </w:rPr>
        <w:t xml:space="preserve">Quelle: </w:t>
      </w:r>
      <w:r>
        <w:t>https://mcp.opencaselaw.ch/entscheid/bvger_B-3116_2008</w:t>
      </w:r>
    </w:p>
    <w:p>
      <w:r>
        <w:t>FR: TAF B-3116/2008 du 29 mai 2008</w:t>
      </w:r>
    </w:p>
    <w:p>
      <w:r>
        <w:t>IT: TAF B-3116/2008 del 29 maggio 2008</w:t>
      </w:r>
    </w:p>
    <w:p>
      <w:pPr>
        <w:pStyle w:val="Heading2"/>
      </w:pPr>
      <w:r>
        <w:t>Regeste</w:t>
      </w:r>
    </w:p>
    <w:p>
      <w:r>
        <w:t>Urheberrecht</w:t>
      </w:r>
    </w:p>
    <w:p>
      <w:pPr>
        <w:pStyle w:val="Heading2"/>
      </w:pPr>
      <w:r>
        <w:t>Erwägungen</w:t>
      </w:r>
    </w:p>
    <w:p>
      <w:r>
        <w:rPr>
          <w:b/>
        </w:rPr>
        <w:t>E. 1</w:t>
      </w:r>
    </w:p>
    <w:p>
      <w:r>
        <w:t>Das Bundesverwaltungsgericht beurteilt Beschwerden gegen Verfügungen nach Art. 5 des Bundesgesetzes vom 20. Dezember 1968 über das Verwaltungsverfahren (VwVG; SR 172.021, vgl. Art. 31 des Bundesgesetzes über das Bundesverwaltungsgericht vom 17. Juni 2005 [Verwaltungsgerichtsgesetz, VGG; SR 173.32]). Der angefochtene Beschluss der Vorinstanz vom 8. April 2008 ist eine solche Verfügung (Art. 74 Abs. 1 URG). Die Zuständigkeit des Bundesverwaltungsgerichts ist damit erstellt. Über ein Begehren um Wiederherstellung - oder hier analog um Wiederentziehung - der aufschiebenden Wirkung ist ohne Verzug zu entscheiden (Art. 55 Abs. 3 VwVG). Mit der vorliegenden Verfügung ist darum dringlich ein Zwischenentscheid zur Frage der aufschiebenden Wirkung zu fällen. Die übrigen Eintretensvoraussetzungen können mit dem Entscheid zur Hauptsache später geprüft werden.</w:t>
      </w:r>
    </w:p>
    <w:p>
      <w:r>
        <w:rPr>
          <w:b/>
        </w:rPr>
        <w:t>E. 2</w:t>
      </w:r>
    </w:p>
    <w:p>
      <w:r>
        <w:t>Beschwerden gegen Verfügungen der Vorinstanz haben nur aufschiebende Wirkung, wenn der Instruktionsrichter des Bundesverwaltungsgerichts dies anordnet (Art. 74 Abs. 2 URG, Art. 55 Abs. 5 VwVG), was vorliegend mit Verfügung vom 14. Mai 2008 superprovisorisch geschehen ist (Art. 39 Abs. 1 VGG). Aufgrund der Vorbringen der Parteien in der Beschwerdeschrift und an der Instruktionsverhandlung ist dieser Entscheid neu zu prüfen. Für den Entscheid über die Gewährung oder Verweigerung der aufschiebenden Wirkung sind die auf dem Spiel stehenden öffentlichen und privaten Interessen an einer vorläufigen Vollstreckung der angefochtenen Regelung abzuwägen (BGE 110 V 40 S. 45 E. 5b, Ulrich Zimmerli/Walter Kälin/Regula Kiener, Grundlagen des öffentlichen Verfahrensrechts, Bern 2004, S. 123 f.), während die Aussichten auf den Ausgang des Verfahrens in der Hauptsache nur ins Gewicht fallen, wenn sie eindeutig sind (BGE 130 II 149 S. 155 E. 2.2, relativierend Xaver Baumberger, Aufschiebende Wirkung bundesrechtlicher Rechtsmittel im öffentlichen Recht, Diss. Zürich 2006, 131 ff.). Die aufschiebende Wirkung ist auf positive Anordnungen im angefochtenen Entscheid beschränkt, da es ihrem nicht-präjudizierenden Zweck in der Regel zuwiderliefe ein im Streit stehendes Rechtsverhältnis umzugestalten und höchstens der vorbestehende Rechtszustand für die Dauer des Beschwerdeverfahrens erhalten bleiben soll (BGE 126 V 407 S. 408 E. 3, Zimmerli/Kälin/Kiener, S. 121). Die vorliegende Prüfung ist somit auf die (positive) Genehmigung des GT 3c in Ziff. 1 der angefochtenen Verfügung beschränkt, während auf die (negative) Verweigerung der Verfahrensteilnahme der Beschwerdeführerin nach Ziff. 3 der Verfügung nicht eingegangen zu werden braucht. In der Beschwerdebegründung wird dieser auch nicht widersprochen.</w:t>
      </w:r>
    </w:p>
    <w:p>
      <w:r>
        <w:rPr>
          <w:b/>
        </w:rPr>
        <w:t>E. 3</w:t>
      </w:r>
    </w:p>
    <w:p>
      <w:r>
        <w:t>An der Aufstellung und Inkraftsetzung von Verwertungstarifen und an der Durchsetzung von Urheberrechten zur individuellen Verwertung bestehen ähnliche öffentliche Interessen, da den Berechtigten durch beide Verwertungsformen ein Erlös zugute kommt und dadurch ein Anreiz für die Kreation von neuer Literatur und Kunst geschaffen wird. Der Gesetzgeber hat eine Behinderung von Nutzungshandlungen wie "Public Viewing" für diesen kulturpolitischen Zweck in Kauf genommen. Zwar kann an einer Kollektivverwertung ein höheres öffentliches Interesse bestehen als einer Individualverwertung, wenn Rechtsverkehr und Werknutzung durch letztere stärker behindert werden, doch wurden diese Interessenabwägungen in den Art. 13 Abs. 3, 20 Abs. 4, 22 Abs. 1, 35 Abs. 3 und 38 URG abschliessend getroffen und die zivilrechtlichen Befugnisse der Beschwerdeführerin von Gesetzes wegen entsprechend beschränkt. Deshalb können sich weder der Entscheid der Vorinstanz noch jener des Bundesverwaltungsgerichts rechtsgestaltend auf die zivilrechtliche Stellung der Beschwerdeführerin oder bindend für ein Zivilgericht auswirken. Ein solches könnte von der Beschwerdeführerin jederzeit gegen eine Lizenzerteilung der Beschwerdegegnerinnen 1-5 an einen "Public Viewing"-Veranstalter oder gegen eine solche Veranstaltung wegen Verletzung von Art. 10 Abs. 2 lit. c URG angerufen werden. Auf die strittige Auslegungsfrage von Art. 22 Abs. 1 URG ist darum auch die Verbindlichkeitsregel für genehmigte Tarife nach Art. 59 Abs. 3 URG nicht anwendbar. Für oder gegen das Bestehen eines Vorführungsrechts, das nach Ansicht der Beschwerdeführerin der individuellen Verwertung unterliegt, muss im Hinblick auf die aufschiebende Wirkung der Beschwerde somit nicht entschieden werden.</w:t>
      </w:r>
    </w:p>
    <w:p>
      <w:r>
        <w:rPr>
          <w:b/>
        </w:rPr>
        <w:t>E. 4</w:t>
      </w:r>
    </w:p>
    <w:p>
      <w:r>
        <w:t>Die Unsicherheit der betroffenen "Public Viewing"-Veranstalter, bei welchem Lizenzgeber sie namentlich im Hinblick auf die bevorstehende Fussball-Europameisterschaft ihre Bewilligung einholen müssen, kann im vorliegenden Verfahren, unabhängig vom bevorstehenden Entscheid, somit gar nicht beseitigt werden. Entgegen der Vorbringen beider Seiten an der Instruktionsverhandlung wird die unerwünschte allgemeine Rechtsunsicherheit weder mit noch ohne aufschiebende Wirkung erheblich verbessert, zumal auch unter Beibehaltung der aufschiebenden Wirkung für viele Betroffene eine Tarifpflicht aufgrund der GT 3a und GT T bestünde und der GT 3c, falls die Beschwerde im Endentscheid nicht durchdringt, in der genehmigten Fassung per 15. Mai 2008 rückwirkend in Kraft treten könnte, die Unsicherheit also auch nicht vorübergehend beseitigt wäre. Immerhin würden allfällige "fehlgeleitete" Zahlungen an die Beschwerdeführerin nach der Übergangsbestimmung des GT 3c auf eine Tarifentschädigung angerechnet und dürften allfällige "fehlgeleitete" Tarifentschädigungszahlungen im umgekehrten Fall an diese herausgegeben werden, wenn die zivilrechtliche Streitfrage einmal gelöst ist. Bis dahin ist deshalb sicherzustellen, dass keine Seite daran gehindert ist, Rechte zu verwerten, zu deren Verwertung sie möglicherweise ein Recht hat.</w:t>
      </w:r>
    </w:p>
    <w:p>
      <w:r>
        <w:rPr>
          <w:b/>
        </w:rPr>
        <w:t>E. 5</w:t>
      </w:r>
    </w:p>
    <w:p>
      <w:r>
        <w:t>Wie dargelegt wird die Beschwerdeführerin durch die Genehmigung des GT 3c nicht rechtsgestaltend daran gehindert, Lizenzverträge mit "Public Viewing"-Veranstaltern abzuschliessen. Demgegenüber können die Beschwerdegegnerinnen 1-5 unter dem GT 3c nur dann Lizenzen erteilen, wenn dieser Tarif in Kraft steht. Da die Nutzungshandlungen unter dem GT 3c über diejenigen der in Kraft stehenden Tarife GT 3a und GT T hinausgehen, würden die Beschwerdegegnerinnen 1-5 durch eine Beibehaltung der aufschiebenden Wirkung vorläufig an der Ausübung allfälliger Lizenzierungsrechte gehindert, so dass das Interesse am Entzug der aufschiebenden Wirkung überwiegt.</w:t>
      </w:r>
    </w:p>
    <w:p>
      <w:r>
        <w:rPr>
          <w:b/>
        </w:rPr>
        <w:t>E. 6</w:t>
      </w:r>
    </w:p>
    <w:p>
      <w:r>
        <w:t>Nach dem Gesagten ergibt sich aufgrund der Interessenabwägung, dass das Gesuch um Gewährung der aufschiebenden Wirkung abzuweisen ist, wodurch der GT 3c rückwirkend per 15. Mai 2008 einstweilen in Kraft gesetzt wird. Die Erfolgsprognose ist aufgrund fehlender Eindeutigkeit nicht zu berücksichtigen. Immerhin ist darauf hinzuweisen, dass die Beschwerdelegitimation der Beschwerdeführerin, die vor der Vorinstanz weder als Nutzerverband noch als Verwertungsgesellschaft aufgetreten ist, nicht gesichert ist.</w:t>
      </w:r>
    </w:p>
    <w:p>
      <w:r>
        <w:rPr>
          <w:b/>
        </w:rPr>
        <w:t>E. 7</w:t>
      </w:r>
    </w:p>
    <w:p>
      <w:r>
        <w:t>Die Kosten des vorliegenden Entscheids und allfällige Parteientschädigungen sind mit dem Entscheid in der Hauptsache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