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B-3050/2009 vom 1. Juli 2009</w:t>
      </w:r>
    </w:p>
    <w:p>
      <w:r>
        <w:t>Bundesverwaltungsgericht, 2009-07-01, FR</w:t>
      </w:r>
    </w:p>
    <w:p>
      <w:r>
        <w:rPr>
          <w:b/>
        </w:rPr>
        <w:t xml:space="preserve">Quelle: </w:t>
      </w:r>
      <w:r>
        <w:t>https://mcp.opencaselaw.ch/entscheid/bvger_B-3050_2009</w:t>
      </w:r>
    </w:p>
    <w:p>
      <w:r>
        <w:t>FR: TAF B-3050/2009 du 1 juillet 2009</w:t>
      </w:r>
    </w:p>
    <w:p>
      <w:r>
        <w:t>IT: TAF B-3050/2009 del 1 luglio 2009</w:t>
      </w:r>
    </w:p>
    <w:p>
      <w:pPr>
        <w:pStyle w:val="Heading2"/>
      </w:pPr>
      <w:r>
        <w:t>Regeste</w:t>
      </w:r>
    </w:p>
    <w:p>
      <w:r>
        <w:t>Travail d'intérêt général (service civil)</w:t>
      </w:r>
    </w:p>
    <w:p>
      <w:pPr>
        <w:pStyle w:val="Heading2"/>
      </w:pPr>
      <w:r>
        <w:t>Erwägungen</w:t>
      </w:r>
    </w:p>
    <w:p>
      <w:r>
        <w:rPr>
          <w:b/>
        </w:rPr>
        <w:t>E. 4</w:t>
      </w:r>
    </w:p>
    <w:p>
      <w:r>
        <w:t>Dans ses écritures, le recourant a également demandé le report de sa libération du service civil pour une durée de douze ans conformément à l'art. 11 al. 2bis LSC, au motif qu'une longue période d'affectation mettrait en danger son employeur ; à cet égard, il invoque une interprétation trop restrictive de cette disposition par l'autorité inférieure.</w:t>
      </w:r>
    </w:p>
    <w:p>
      <w:r>
        <w:rPr>
          <w:b/>
        </w:rPr>
        <w:t>E. 4.1</w:t>
      </w:r>
    </w:p>
    <w:p>
      <w:r>
        <w:t>Faisant suite à la révision de la législation militaire abaissant l'âge de la libération de l'obligation de servir de 42 à 34 ans, le législateur a adopté une disposition afin de tenir compte des effets de cet abaissement sur les personnes astreintes au service civil. L'art. 11 al. 2bis LSC (introduit par le ch. I de la loi fédérale du 21 mars 2003 modifiant la LSC, en vigueur depuis le 1er janvier 2004, RO 2003 4843, spéc. 4846) traite ainsi, dans le cadre de la fin de l'astreinte au service civil, du report exceptionnel de la limite d'âge ordinaire ; sa teneur en est la suivante : « En cas de besoin, en particulier en cas d'affectation à l'étranger, la libération des personnes astreintes peut, avec leur consentement, être reportée de douze ans au plus. » L'art. 11 al. 2bis LSC est complété par l'art. 15 OSCi lequel dispose qu'une personne astreinte voulant être affectée à l'étranger après la limite d'âge ne peut conclure de convention avec l'organe d'exécution en vertu de l'art. 11 al. 2bis LSC que si elle a accompli au moins 145 jours de service dans l'armée ou dans le service civil (al. 1). Elle peut retirer son consentement à prolonger son affectation à l'étranger mais non pas son consentement à un report de sa libération du service civil (al. 2). Elle peut retirer en tout temps son consentement à prolonger son affectation par des jours supplémentaires de service civil conformément à l'art. 8 al. 2 LSC (al. 3). L'organe d'exécution libère du service civil une personne astreinte aux termes de l'al. 1 au plus tard à la fin de l'année où elle a accompli sa 46e année révolue (al. 4).</w:t>
      </w:r>
    </w:p>
    <w:p>
      <w:r>
        <w:rPr>
          <w:b/>
        </w:rPr>
        <w:t>E. 4.2</w:t>
      </w:r>
    </w:p>
    <w:p>
      <w:r>
        <w:t>Le Message du Conseil fédéral du 21 septembre 2001 concernant la modification de la loi fédérale sur le service civil (FF 2001 5819 ss) explique que le relèvement de la limite d'âge est nécessaire notamment pour les affectations à l'étranger car ce type d'affectation requiert en général une formation privée préalable et une expérience particulière (en principe professionnelle) qui sont souvent l'apanage de l'âge mûr. Cette pratique permet par exemple à une personne astreinte au service civil prévue pour une affectation donnée de repousser cette affectation pour terminer des études spécialisées. Le relèvement de la limite d'âge se fait toujours cas par cas et uniquement en cas de besoin avéré pour l'affectation en question. L'établissement du besoin est du ressort de l'organe d'exécution qui prend contact avec l'établissement d'affectation et peut consulter des experts. Les intérêts de la personne astreinte au service civil ne sauraient à eux seuls justifier le besoin et ne confèrent aucun droit à telle ou telle affectation à l'étranger (FF 2001 5819 ss, spéc. 5869). Les exigences spécifiques liées aux affectations à l'étranger ressortent par ailleurs de l'art. 7 al. 1 LSC disposant que les personnes astreintes peuvent être affectées à l'étranger pour autant qu'elles y consentent et que leur personnalité, leurs compétences professionnelles ou leur expérience spécifique s'y prêtent. Le report exceptionnel de la limite d'âge n'a pas fait l'objet de discussions au sein des Chambres fédérales et l'art. 11 al. 2bis LSC a été adopté par le législateur conformément au projet de loi élaboré par le Conseil fédéral. Partant, il convient de s'appuyer sur le Message du Conseil fédéral pour interpréter la notion de besoin contenue dans la norme. Or, il ressort dudit Message ainsi que de la jurisprudence de l'ancienne Commission de recours DFE (décision de la Commission de recours DFE [5C/2004-3] du 17 mai 2004 consid. 3.2, publiée sur Internet in : www.reko.admin.ch) que le besoin, de nature à permettre un report de la libération du service civil, est intimement lié au type d'affectation choisi par la personne astreinte et non à ses seuls intérêts personnels (arrêt du TAF B-6227/2008 du 16 février 2009 consid. 3.1.1). L'art. 11 al. 2bis LSC n'a dès lors pas pour but de reporter la libération du service civil de personnes qui, pendant des années, ont repoussé leur obligation de servir. Au surplus, à teneur de l'art. 13 al. 2 let. a LAAM, l'obligation de servir s'éteint, pour les militaires de la troupe notamment, à la fin de l'année au cours de laquelle ils atteignent l'âge de 30 ans ou, s'ils n'ont pas accompli la durée totale des services d'instruction, au plus tard à la fin de l'année où ils atteignent l'âge de 34 ans. A cet effet, il ressort du Message du Conseil fédéral du 24 octobre 2001 sur la réforme Armée XXI et sur la révision de la législation militaire (FF 2002 816, spéc. 828) que la libération correspond à la trentième année d'âge. Toutefois, lorsque la personne astreinte déplacera un service d'instruction plusieurs fois, la durée des obligations militaires devra pouvoir être prolongée de quatre ans au plus. Dès lors, l'âge de libération du service civil fixé à 34 ans constitue déjà, comme le relève à juste titre l'autorité inférieure, un relèvement de la limite d'âge.</w:t>
      </w:r>
    </w:p>
    <w:p>
      <w:r>
        <w:rPr>
          <w:b/>
        </w:rPr>
        <w:t>E. 4.3</w:t>
      </w:r>
    </w:p>
    <w:p>
      <w:r>
        <w:t>En l'espèce, le recourant, qui n'a accompli jusqu'à ce jour que 31 jours de service civil, est tenu d'accomplir le solde de son astreinte d'ici à la fin de l'année. Il ne ressort en effet pas du dossier, et le recourant ne le prétend d'ailleurs pas, que le type d'affectation visé implique un besoin de report de la libération du service civil. Comme relevé par l'autorité inférieure, la demande du recourant ne s'avère pas liée au bon déroulement de l'affectation visée, mais bien aux impératifs de ce dernier. En outre, au regard de ce qui a été exposé plus haut, le seul fait que le recourant n'ait pas pris en temps utile les dispositions nécessaires à un accomplissement échelonné de ses obligations - comme c'est précisément le cas en l'occurrence -ne saurait justifier un report de la date de sa libération au sens de l'art. 11 al. 2bis LSC. Il est vrai que si les termes en particulier se révèlent de nature à donner un caractère exemplatif à la norme, le Conseil fédéral, chargé de l'exécution de la loi, n'a toutefois pas étendu le champ d'application de l'art. 11 al. 2bis LSC à d'autres exceptions que celle réservée aux affectations à l'étranger.</w:t>
      </w:r>
    </w:p>
    <w:p>
      <w:r>
        <w:rPr>
          <w:b/>
        </w:rPr>
        <w:t>E. 4.4</w:t>
      </w:r>
    </w:p>
    <w:p>
      <w:r>
        <w:t>Par conséquent, le recourant n'alléguant pas un besoin au sens de l'art. 11 al. 2bis LSC pour démontrer qu'il a droit à un report de sa libération du service civil, c'est à juste à titre que l'autorité inférieure a rejeté sa demande.</w:t>
      </w:r>
    </w:p>
    <w:p>
      <w:r>
        <w:rPr>
          <w:b/>
        </w:rPr>
        <w:t>E. 5</w:t>
      </w:r>
    </w:p>
    <w:p>
      <w:r>
        <w:t>Sur le vu de ce qui précède,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La procédure devant le Tribunal administratif fédéral étant gratuite en matière de service civil, il n'y a pas lieu de percevoir des frais de procédure. De même, il n'est pas alloué de dépens (art. 65 al. 1 LSC).</w:t>
      </w:r>
    </w:p>
    <w:p>
      <w:r>
        <w:rPr>
          <w:b/>
        </w:rPr>
        <w:t>E. 7</w:t>
      </w:r>
    </w:p>
    <w:p>
      <w:r>
        <w:t>Le présent arrêt est définitif (art. 83 let. i de la loi sur le Tribunal fédéral du 17 juin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