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B-2941/2008 vom 14. Juli 2008</w:t>
      </w:r>
    </w:p>
    <w:p>
      <w:r>
        <w:t>Bundesverwaltungsgericht, 2008-07-14, FR</w:t>
      </w:r>
    </w:p>
    <w:p>
      <w:r>
        <w:rPr>
          <w:b/>
        </w:rPr>
        <w:t xml:space="preserve">Quelle: </w:t>
      </w:r>
      <w:r>
        <w:t>https://mcp.opencaselaw.ch/entscheid/bvger_B-2941_2008</w:t>
      </w:r>
    </w:p>
    <w:p>
      <w:r>
        <w:t>FR: TAF B-2941/2008 du 14 juillet 2008</w:t>
      </w:r>
    </w:p>
    <w:p>
      <w:r>
        <w:t>IT: TAF B-2941/2008 del 14 luglio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les présents recours.</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w:t>
      </w:r>
    </w:p>
    <w:p>
      <w:r>
        <w:rPr>
          <w:b/>
        </w:rPr>
        <w:t>E. 1.4</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Les recours sont ainsi recevables.</w:t>
      </w:r>
    </w:p>
    <w:p>
      <w:r>
        <w:rPr>
          <w:b/>
        </w:rPr>
        <w:t>E. 2.1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Selon l'art. 38 al. 6 LBVM, 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w:t>
      </w:r>
    </w:p>
    <w:p>
      <w:r>
        <w:rPr>
          <w:b/>
        </w:rPr>
        <w:t>E. 2.2</w:t>
      </w:r>
    </w:p>
    <w:p>
      <w:r>
        <w:t>Comme la jurisprudence a eu l'occasion de le constater à maintes reprises, la modification de l'art. 38 LBVM, entrée en vigueur le 1er février 2007, assouplit le principe de la confidentialité et supprime, dans le cadre du principe de la spécialité, celui dit du "long bras" qui obligeait l'autorité de surveillance à garder le contrôle de l'utilisation des informations après les avoir transmises à l'autorité étrangère. Pour le reste, les règles de l'ancien art. 38 LBVM ainsi que la jurisprudence y relative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p. 6357 s.).</w:t>
      </w:r>
    </w:p>
    <w:p>
      <w:r>
        <w:rPr>
          <w:b/>
        </w:rPr>
        <w:t>E. 2.3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arrêt du TF 2A.649/2006 du 18 janvier 2007 consid. 3.2).</w:t>
      </w:r>
    </w:p>
    <w:p>
      <w:r>
        <w:rPr>
          <w:b/>
        </w:rPr>
        <w:t>E. 3.1</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consid. 3, ATF 129 II 484 consid. 2.2, ATF 127 II 323 consid. 4, ATF 126 II 86 consid. 3b ; arrêt du TAF B-168/2008 du 26 mars 2008 consid. 3). Le Tribunal fédéral a également jugé qu'elle présentait des garanties suffisantes pour assurer de manière effective le respect du principe de la spécialité (ATF 129 II 484 consid. 2.2, ATF 127 II 142 consid. 6c, ATF 126 II 86 consid. 3b et 7 ; arrêt du TAF B-168/2008 du 26 mars 2008 consid. 3 ; arrêt du TAF B-1589/2008 du 2 juin 2008 consid. 3).</w:t>
      </w:r>
    </w:p>
    <w:p>
      <w:r>
        <w:rPr>
          <w:b/>
        </w:rPr>
        <w:t>E. 3.2</w:t>
      </w:r>
    </w:p>
    <w:p>
      <w:r>
        <w:t>S'agissant de la SEC, le Tribunal fédéral a récemment confirmé qu'elle satisfaisait pleinement aux exigence de confidentialité et de spécialité de l'art. 38 al. 2 LBVM (arrêt du TF 2A.13/2007 du 3 septembre 2007 consid. 5 et les références citées). Elle constitue donc également une autorité de surveillance des marchés financiers au sens de dite disposition légale.</w:t>
      </w:r>
    </w:p>
    <w:p>
      <w:r>
        <w:rPr>
          <w:b/>
        </w:rPr>
        <w:t>E. 4</w:t>
      </w:r>
    </w:p>
    <w:p>
      <w:r>
        <w:t>Les recourants se plaignent, à titre liminaire, d'une violation du droit d'être entendu consacré à l'art. 29 al. 2 de la Constitution fédérale de la Confédération suisse du 18 avril 1999 (Cst., RS 101) ainsi qu'aux art. 29 ss PA. Ils reprochent à l'autorité inférieure de ne pas avoir requis la production du règlement d'organisation de K._______ et de ne pas avoir entendu les parties au sujet de l'organisation de la direction opérationnelle de K._______.</w:t>
      </w:r>
    </w:p>
    <w:p>
      <w:r>
        <w:rPr>
          <w:b/>
        </w:rPr>
        <w:t>E. 4.1</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personne, de participer au prononcé de décisions qui portent atteinte à sa situation juridique (ATF 122 I 53 consid. 4a, ATF 122 I 109 consid. 2a, ATF 114 Ia 97 consid. 2a et les réf. cit.). Plus précisément, selon la jurisprudence du Tribunal fédéral, le droit d'être entendu confère aux parties le droit de s'exprimer sur tous les points importants avant qu'une décision ne soit prise ; si cette règle s'applique sans restriction pour les questions de fait, il est admis que, pour ce qui est de la qualification juridique, elle ne vaut que dans l'hypothèse où une partie change inopinément son point de vue juridique ou lorsque l'autorité a l'intention de s'appuyer sur des arguments juridiques inconnus des parties et dont celles-ci ne pouvaient prévoir l'adoption (ATF 124 I 49 consid. 3c).</w:t>
      </w:r>
    </w:p>
    <w:p>
      <w:r>
        <w:rPr>
          <w:b/>
        </w:rPr>
        <w:t>E. 4.2</w:t>
      </w:r>
    </w:p>
    <w:p>
      <w:r>
        <w:t>En l'espèce, il ressort de l'état des faits présenté que les recourants ont été invités à se déterminer sur la transmission des informations aux autorités requérantes. S'agissant de la production du règlement d'organisation de K._______, il sied de relever que la CFB a certes constaté à plusieurs reprises que ledit règlement n'avait pas été produit par la recourante. Toutefois, dans sa motivation, la CFB ne conteste ni l'allégation de K._______ s'agissant de la composition formelle de sa direction opérationnelle, ni la teneur dudit règlement telle qu'elle a été rapportée par K._______. De plus, lorsqu'elle signale qu'il est peu vraisemblable que X._______ en qualité de président du conseil d'administration, n'ait pas été consulté en vue d'effectuer les transactions litigieuses, elle procède à une appréciation des faits pour laquelle, en vertu de la jurisprudence susmentionnée (cf. consid. 4.1), les recourants ne sauraient revendiquer le droit à être entendu préalablement. Enfin, en tout état de cause, si une violation devait être reconnue, celle-ci s'avérerait de toute façon guérie par la présente procédure de recours dans la mesure où l'échange d'écritures a permis aux recourants de se déterminer sur ces éléments. Le grief de la violation du droit d'être entendu est donc dénué de pertinence.</w:t>
      </w:r>
    </w:p>
    <w:p>
      <w:r>
        <w:rPr>
          <w:b/>
        </w:rPr>
        <w:t>E. 5</w:t>
      </w:r>
    </w:p>
    <w:p>
      <w:r>
        <w:t>Les recourants invoquent également une constatation incomplète et inexacte des faits dès lors que l'autorité inférieure a retenu que K._______ s'était ravisée en précisant que seule sa direction opérationnelle était au courant et à l'origine des transactions en cause. Ils signalent que K._______ ne s'est nullement ravisée mais qu'il s'agit d'une précision voire d'une correction à la demande expresse de la CFB. En l'espèce, il sied de constater que l'utilisation du verbe « raviser » en lieu et place de « préciser » ou « corriger », n'est pas de nature à modifier l'appréciation des faits par l'autorité inférieure, comme elle le signale dans sa réponse. En effet, peu importe le verbe utilisé, il n'en demeure pas moins que K._______ a complété son allégation en indiquant que seule la direction opérationnelle était au courant et à l'origine des transactions litigieuses. Le verbe utilisé par l'autorité inférieure dénote très vraisemblablement une appréciation sur le comportement de K._______ mais ne saurait pour autant consister en une inexactitude. Dans ces circonstances, force est d'admettre que l'autorité inférieure n'a pas constaté de manière inexacte et incomplète les faits en indiquant que K._______ s'était ravisée dans son courrier du 16 octobre 2007.</w:t>
      </w:r>
    </w:p>
    <w:p>
      <w:r>
        <w:rPr>
          <w:b/>
        </w:rPr>
        <w:t>E. 6</w:t>
      </w:r>
    </w:p>
    <w:p>
      <w:r>
        <w:t>Les recourants invoquent ensuite une violation de l'art. 38 al. 4 LBVM ainsi que du principe de la proportionnalité dans la mesure où ils n'ont pas été impliqués dans l'affaire faisant l'objet de l'enquête. À cet égard, ils avancent avoir donné un mandat clair et écrit de gestion de fortune discrétionnaire à K._______ ; en outre, ils n'auraient pas été informés ni n'auraient participé aux décisions d'investissement litigieuses. Ils précisent pour le surplus que X._______ n'intervient nullement dans la gestion de K._______ et que, en sa qualité de président du conseil d'administration, il préside uniquement aux réunions de celui-ci qui ont lieu une fois par an avant l'assemblée générale.</w:t>
      </w:r>
    </w:p>
    <w:p>
      <w:r>
        <w:rPr>
          <w:b/>
        </w:rPr>
        <w:t>E. 6.1</w:t>
      </w:r>
    </w:p>
    <w:p>
      <w:r>
        <w:t>A titre liminaire, force est d'admettre que les transactions litigieuses ont eu lieu durant des périodes sensibles et constituent dès lors des indices suffisants de nature à fonder un soupçon initial au sens de la jurisprudence (ATF 129 II 484 consid. 4.1 et les réf. cit., ATF 126 II 409 consid. 5a, ATF 125 II 65 consid. 6b/aa ; arrêt du TAF B-2980/2007 du 26 juillet 2007 consid. 5.1, arrêt du TAF B-168/2008 du 26 mars 2008 consid. 5.1, arrêt du TAF du B-1589/2008 du 2 juin 2008 consid. 6.1). Les recourants ne le contestent d'ailleurs pas. Dans ces circonstances, les autorités requérantes pouvaient légitimement demander à la CFB des précisions sur les transactions en cause.</w:t>
      </w:r>
    </w:p>
    <w:p>
      <w:r>
        <w:rPr>
          <w:b/>
        </w:rPr>
        <w:t>E. 6.2</w:t>
      </w:r>
    </w:p>
    <w:p>
      <w:r>
        <w:t>S'agissant de la qualité de tiers non impliqué revendiquée par les recourants, il sied de relever que, 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 ATF 127 II 323 consid. 6b/aa ;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 arrêt du TAF B-168/2008 du 26 mars 2008 consid. 6.1, arrêt du TAF B-1589/2008 du 2 juin 2008 consid. 7.1).</w:t>
      </w:r>
    </w:p>
    <w:p>
      <w:r>
        <w:rPr>
          <w:b/>
        </w:rPr>
        <w:t>E. 6.3</w:t>
      </w:r>
    </w:p>
    <w:p>
      <w:r>
        <w:t>En l'espèce, les transactions litigieuses ont été ordonnées par K._______ en vertu d'un mandat écrit de gestion discrétionnaire confié par les recourants. Il convient cependant d'examiner si aucune autre circonstance n'indique que X._______ - qui est également l'ayant droit économique de Y._______ - pourrait avoir été mêlé d'une manière ou d'une autre auxdites transactions. Celui-ci est président du conseil d'administration de K._______ avec pouvoir de signature individuelle. Dans ces circonstances, il paraît peu vraisemblable, comme l'a relevé l'autorité inférieure, qu'une personne jouissant de responsabilités élevées dans une société de gestion de fortune ne soit pas informée lorsque celle-ci procède à des transactions et engage des sommes considérables pour son compte ou celui d'une société dont il est l'ayant droit économique. De plus, le fait que près de la moitié des titres acquis par K._______ ont été attribués aux recourants est de nature à renforcer le doute sur la non implication de X._______ et de Y._______ dans les transactions litigieuses. En conséquence, ni l'allégation selon laquelle seule la direction opérationnelle de K._______ est responsable de sa gestion, ni les motifs invoqués pour justifier les transactions ayant simultanément entraîné différentes demandes d'entraide ne permettent d'exclure que X._______ ait participé aux décisions d'investissements en cause.</w:t>
      </w:r>
    </w:p>
    <w:p>
      <w:r>
        <w:rPr>
          <w:b/>
        </w:rPr>
        <w:t>E. 6.4</w:t>
      </w:r>
    </w:p>
    <w:p>
      <w:r>
        <w:t>Sur le vu de ce qui précède, force est de constater qu'il n'est pas manifeste que X._______ n'a pris aucune part aux transactions ayant éveillé les soupçons des autorités requérantes et que, dès lors, la transmission d'informations le concernant ainsi que la société dont il est l'ayant droit économique ne contrevient pas au principe de la proportionnalité.</w:t>
      </w:r>
    </w:p>
    <w:p>
      <w:r>
        <w:rPr>
          <w:b/>
        </w:rPr>
        <w:t>E. 7</w:t>
      </w:r>
    </w:p>
    <w:p>
      <w:r>
        <w:t>Enfin, les recourants font valoir que les autorités requérantes ont reçu de l'autorité inférieure la prise de position de K._______ et n'ont pas demandé la transmission d'informations supplémentaires. Ils estiment en conséquence qu'il ne se justifie pas de leur remettre des informations révélant leur identité (ainsi que, pour Y._______, celle de son ayant droit économique). Or, le Tribunal fédéral a, à réitérées reprises, reconnu que la CFB est habilitée à fournir spontanément des informations en lien direct avec une requête d'assistance, savoir même en l'absence d'une demande spécifique (ATF 126 II 409 consid. 6c/aa, ATF 125 II 65 consid. 7 ; arrêt du TF 2A. 162/2001 du 10 juillet 2001 consid. 4c). En l'espèce, les informations que l'autorité inférieure a décidé de transférer aux autorités requérantes sont directement liées à leurs demandes d'assistance puisqu'elles concernent une partie des transactions objet des trois requêtes. Elles peuvent donc êtres transmises même en l'absence d'une demande expresse.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fondés, les recours doivent être rejetés.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5'000.-, doivent être intégralement mis à leur charge, soit Fr. 2'500.- chacun. Ils seront prélevés sur les deux avances de frais de chacune Fr. 2'500.- versées par les recourants. Vu l'issue de la procédure, les recourants n'ont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