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B-2844/2009 vom 28. Mai 2010</w:t>
      </w:r>
    </w:p>
    <w:p>
      <w:r>
        <w:t>Bundesverwaltungsgericht, 2010-05-28, FR</w:t>
      </w:r>
    </w:p>
    <w:p>
      <w:r>
        <w:rPr>
          <w:b/>
        </w:rPr>
        <w:t xml:space="preserve">Quelle: </w:t>
      </w:r>
      <w:r>
        <w:t>https://mcp.opencaselaw.ch/entscheid/bvger_B-2844_2009</w:t>
      </w:r>
    </w:p>
    <w:p>
      <w:r>
        <w:t>FR: TAF B-2844/2009 du 28 mai 2010</w:t>
      </w:r>
    </w:p>
    <w:p>
      <w:r>
        <w:t>IT: TAF B-2844/2009 del 28 maggio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 der gesetzlichen Frist von Art. 50 des Bundesgesetzes über das Verwaltungsverfahren vom 20. Dezember 1968 (Verwaltungsverfahrensgesetz, VwVG; SR 172.021) am 1. Mai 2009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VW; BGE 128 III 441 E. 3.1 Appenzeller; BGE 127 III 160 E. 2a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Hinweisen; Urteil des Bundesgerichts 4C.258/2004 vom 6. Oktober 2004 E. 2.2 Yello).</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apiella; BGE 122 III 382 E. 3a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Urteil des Bundesgerichts 4C.258/2004 vom 6. Oktober 2004 E. 2.3 Yello).</w:t>
      </w:r>
    </w:p>
    <w:p>
      <w:r>
        <w:rPr>
          <w:b/>
        </w:rPr>
        <w:t>E. 3</w:t>
      </w:r>
    </w:p>
    <w:p>
      <w:r>
        <w:t>In einem ersten Schritt ist zu überprüfen, ob die beanspruchten Dienstleistungen der sich gegenüberstehenden Marken aus Sicht der Abnehmerkreise gleichartig sind.</w:t>
      </w:r>
    </w:p>
    <w:p>
      <w:r>
        <w:rPr>
          <w:b/>
        </w:rPr>
        <w:t>E. 3.1</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eines gemeinsamen Markeninhabers hergestellt (Lucas David, Kommentar zum Markenschutzgesetz, in: Kommentar zum schweizerischen Privatrecht, Markenschutzgesetz/Muster- und Modellgesetz, Basel 1999,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RKGE in sic! 2004, S. 863 Harry/Harry's Bar; RKGE in sic! 2006, S. 36 Käserosette). Gegen das Vorliegen von Gleichartigkeit sprechen getrennte Vertriebskanäle innerhalb derselben Käuferschicht sowie das Verhältnis von Hilfsware oder Rohstoff zu Haupt-, Zwischen- oder Fertigware (Urteil des Bundesverwaltungsgerichts B-7447/2006 vom 17. April 2007 E. 5 Martini Baby; RKGE in sic! 2004 S. 863 Harry/Harry's Bar; Eugen Marbach, in: Roland von Büren/Lucas David [Hrsg.], Schweizerisches Immaterialgüter- und Wettbewerbsrecht, Bd. III/1, Markenrecht, 2. Aufl., Basel 2009, N. 817 ff.).</w:t>
      </w:r>
    </w:p>
    <w:p>
      <w:r>
        <w:rPr>
          <w:b/>
        </w:rPr>
        <w:t>E. 3.2</w:t>
      </w:r>
    </w:p>
    <w:p>
      <w:r>
        <w:t>Vorliegend beanspruchen beide Zeichen Schutz für Dienstleistungen der Klasse 42 - die Widerspruchsmarke für die Entwicklung, Beratung sowie Forschung im Bereich von Computerprogrammen, die angefochtene Marke für Analyse- und Forschungsdienstleistungen sowie die Entwicklung von Hard- und Software. Analysedienstleistungen sind mit Beratungstätigkeiten eng verwandt, stellen erstere gewöhnlich doch eine unabdingbare Voraussetzung der letzteren dar. Ebenfalls besteht eine enge Beziehung zwischen Computerhardware und -software. Die eine kann nicht ohne die andere funktionieren. Häufig bieten Computerunternehmen sowohl Hard- als auch Software an, zu denken ist dabei etwa an Hardwarehersteller welche eine für ihre Erzeugnisse optimierte Software mitliefern. Aus Sicht des betroffenen Verkehrskreises, zu welchem insbesondere mittelständische Betriebe und Grossunternehmungen zählen, die Studien in Auftrag geben oder für ihr Geschäft eine massgeschneiderte Informatiklösung benötigen, liegt demnach offensichtlich eine Dienstleistungsgleichartigkeit vor. Unbehelflich ist der Hinweis der Beschwerdeführerin, dass sich die Parteien in verschiedenen Geschäftsbereichen spezialisiert - sie sich im Bereich der Forschung und der elektronischen Zutrittsorganisation, die Beschwerdegegnerin sich auf dem Gebiet der betriebswirtschaftlichen Gesamtlösungen - hätten, ist vorliegend doch einzig die Eintragung im Markenregister massgebend. Ausserdem sei darauf hingewiesen, dass die meisten grösseren Softwarehäuser über eigene Forschungsabteilungen verfügen und somit auch für externe Forschungsaufträge bestens gerüstet wären, und dass nicht ausgeschlossen werden kann, dass in naher Zukunft die Organisation der Zutrittsberechtigungen mittels Identifikation per Funkchip oder Biometrie ein gewöhnlicher Bestandteil von betriebswirtschaftlichen Gesamtlösungen darstellen wird. Überdies lässt sich der Homepage der Beschwerdeführerin entnehmen, dass diese neben Systemlösungen im Sicherheitsbereich auch andere Dienstleistungen, insbesondere Software für "Business Intelligence, Knowledge Management, Collaboration und betriebswirtschaftliche Gesamtlösungen" entwickle (http://www.asapch.com/ application/index.html). Das angefochtene Zeichen beansprucht ferner Schutz für Telekommunikation in Klasse 38, wohingegen die Widerspruchsmarke unter anderem noch für Internetdienstleistungen in Klasse 35 ins Markenregister eingetragen ist. Unter Telekommunikation bzw. Fernmeldewesen werden sämtliche Formen der elektronischen Informationsübermittlung über grössere Distanzen hinweg verstanden, worunter auch der Datenaustausch über das Internet fällt. Letzterer erfolgt gewöhnlich über die vorhandenen Telefon- und Fernsehleitungen, weshalb die meisten Telefonunternehmen und Fernsehprovider auch Internetdienstleistungen anbieten. Andererseits wird das Internet vermehrt auch zum Telefonieren und Fernsehen verwendet. Aufgrund dieser engen Verknüpfung zwischen Internet und sonstiger Telekommunikation liegt aus Sicht des betroffenen Abnehmerkreises, zu welchem heutzutage jedermann und damit auch der Durchschnittsverbraucher zählt, offensichtlich eine Dienstleistungsgleichartigkeit vor. Es lässt sich demnach festhalten, dass die beanspruchten Dienstleistungen der sich gegenüberstehenden Marken gleichartig sind.</w:t>
      </w:r>
    </w:p>
    <w:p>
      <w:r>
        <w:rPr>
          <w:b/>
        </w:rPr>
        <w:t>E. 4</w:t>
      </w:r>
    </w:p>
    <w:p>
      <w:r>
        <w:t>Ausgehend von dieser Dienstleistungsgleichartigkeit gilt es nun in einem zweiten Schritt die beiden Marken auf ihre Zeichenähnlichkeit und Verwechselbarkeit hin zu überprüfen.</w:t>
      </w:r>
    </w:p>
    <w:p>
      <w:r>
        <w:rPr>
          <w:b/>
        </w:rPr>
        <w:t>E. 4.1</w:t>
      </w:r>
    </w:p>
    <w:p>
      <w:r>
        <w:t>Die Markenähnlichkeit beurteilt sich nach dem Gesamteindruck, den die Marken in der Erinnerung der angesprochenen Verkehrskreise hinterlassen (BGE 121 III 377 E. 2a Boss; Marbach, a.a.O., N. 864 ff.; David, a.a.O., Art. 3 N. 11 und 15; Christoph Willi, Markenschutzgesetz, Kommentar zum schweizerischen Markenrecht unter Berücksichtigung des europäischen und internationalen Markenrechts, Zürich 2002, Art. 3 N. 63 und 67). Beim Zeichenvergleich ist von den Eintragungen im Register auszugehen (BGE 119 II 475 E. 2b Radion), doch gilt es zu berücksichtigen, dass das angesprochene Publikum die Marken in der Regel nicht gleichzeitig vor sich hat. Deshalb ist auf das Erinnerungsbild abzustellen, das die Abnehmer von den eingetragenen Marken bewahren (RKGE in sic! 2006, S. 673 O [fig.]). Diesem Erinnerungsbild haftet zwangsläufig eine gewisse Verschwommenheit an (Marbach, a.a.O., N. 867 f.), wobei es wesentlich durch die kennzeichnungskräftigen Markenelemente geprägt wird (BGE 122 III 386 E. 2a Kamillosan). Schwache oder gemeinfreie Markenbestandteile dürfen jedoch bei der Beurteilung der Markenähnlichkeit nicht einfach weggestrichen werden (Willi, a.a.O., Art. 3, N. 65; vgl. Entscheid der RKGE vom 20. Oktober 2005 E. 6 f. Mictonorm, veröffentlicht in sic! 2006, S. 90). Die unveränderte Übernahme der Widerspruchsmarke in die angefochtene Marke schafft in der Regel eine Verwechslungsgefahr, solange nicht neue kennzeichnungskräftige Bestandteile zu einem kennzeichnungsschwachen Element der älteren Marke hinzugefügt werden (Urteile des Bundesverwaltungsgerichts B-3118/2006 vom 6. November 2007 E. 2 Swing, B-439/2006 vom 6. Juli 2007 E. 7.1.1. Kinder).</w:t>
      </w:r>
    </w:p>
    <w:p>
      <w:r>
        <w:rPr>
          <w:b/>
        </w:rPr>
        <w:t>E. 4.2</w:t>
      </w:r>
    </w:p>
    <w:p>
      <w:r>
        <w:t>Der Gesamteindruck wird bei Wortmarken durch den Klang, das Schriftbild und, gegebenenfalls, den Sinngehalt bestimmt (BGE 127 III 160 E. 2b/cc Securitas; BGE 122 III 382 E. 5a Kamillosan). Dabei kann bereits die Nähe auf einer dieser Beurteilungsebenen genügen, um auf Zeichenähnlichkeit zu schliessen (MARBACH, a.a.O., N. 875). Der Wortklang wird im Wesentlichen durch die Silbenzahl, die Aussprachekadenz und die Aufeinanderfolge der Vokale bestimmt, das Schriftbild durch die Wortlänge und die optische Wirkung der Buchstaben (BGE 127 III 160 E. 2b/cc Securitas; BGE 122 III 382 E. 5a Kamillosan; BGE 119 II 473 E. 2c Radion).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B-7500/2006 vom 19. Dezember 2007 E. 6.4 Diva Cravatte; RKGE in sic ! 2005, S. 807 DVT Technisches Fernsehen [fig.]/DVT; WILLI, a.a.O., Art. 3 N. 143).</w:t>
      </w:r>
    </w:p>
    <w:p>
      <w:r>
        <w:rPr>
          <w:b/>
        </w:rPr>
        <w:t>E. 4.3</w:t>
      </w:r>
    </w:p>
    <w:p>
      <w:r>
        <w:t>Vorliegend stehen sich eine Wortmarke und eine Wort-/Bildmarke gegenüber. Die grafische Gestaltung des angefochtenen Zeichens ist jedoch nicht geeignet, dessen Gesamteindruck massgebend zu beeinflussen, handelt es sich doch um eine verkehrsübliche Schrift. Ein eigentlicher Bildbestandteil fehlt gänzlich. Im Folgenden gilt es daher die beiden Zeichen wie Wortmarken hinsichtlich des Schriftbilds, des Klangs sowie des Sinngehalts miteinander zu vergleichen.</w:t>
      </w:r>
    </w:p>
    <w:p>
      <w:r>
        <w:rPr>
          <w:b/>
        </w:rPr>
        <w:t>E. 4.3.1</w:t>
      </w:r>
    </w:p>
    <w:p>
      <w:r>
        <w:t>Das Schriftbild der beiden Zeichen präsentiert sich unterschiedlich. Während die Widerspruchsmarke aus drei Grossbuchstaben besteht, sind es bei der angefochtenen Marke fünf Schriftzeichen - ein Semikolon sowie vier Kleinbuchstaben. Erstere Marke wirkt kurz und hoch, letztere dagegen lang und schmal. Auch wird die Widerspruchsmarke im angefochtenen Zeichen nicht erkannt, zumal sich der Zeichenanfang stark unterscheidet. Sie ist mit den beiden zusätzlichen Schriftzeichen zu einer Einheit verschmolzen. Soweit aus dem jüngeren Zeichen drei Buchstaben herausstechen sollten, dürfte dies aufgrund der symmetrischen Anordnung sowie der Lage in der Zeichenmitte der Bestandteil "asa" sein.</w:t>
      </w:r>
    </w:p>
    <w:p>
      <w:r>
        <w:rPr>
          <w:b/>
        </w:rPr>
        <w:t>E. 4.3.2</w:t>
      </w:r>
    </w:p>
    <w:p>
      <w:r>
        <w:t>Hinsichtlich des Klangs lässt sich anmerken, dass zwar die Tendenz besteht, längere sowie in Kleinbuchstaben geschriebene Zeichen in einem Fluss auszusprechen, kürzere sowie in Grossbuchstaben verfasste dagegen zu buchstabieren, diesbezüglich aber keine verbindlichen Regeln existieren. Die Marken können folglich "S-A-P" bzw "Sap" und "A-S-A-P" bzw. "Asap" ausgesprochen werden. Beim jüngeren Zeichen dürfte in beiden Varianten die natürliche Betonung auf dem Anfangsbuchstaben "A" liegen. Das am Zeichenanfang stehende Semikolon kommt dagegen akustisch nicht zur Geltung. Klanglich wird die Widerspruchsmarke im angefochtenen Zeichen nicht wahrgenommen, sondern verschmilzt mit dem davorstehenden Vokal zu einer Einheit. Auch wenn die Gefahr des Überhörens des Zeichenanfangs nicht ganz ausgeschlossen werden kann, so ist diese im Bereich der Dienstleistungen der Klasse 42 doch, insbesondere unter Berücksichtigung des qualifizierten Abnehmerkreises, gering. Aber auch bezüglich der sich an einen breiteren Verkehrskreis richtenden Telekommunikations- bzw. Internetdienstleistungen hält sich das Risiko des Verhörens im zulässigen Rahmen.</w:t>
      </w:r>
    </w:p>
    <w:p>
      <w:r>
        <w:rPr>
          <w:b/>
        </w:rPr>
        <w:t>E. 4.3.3</w:t>
      </w:r>
    </w:p>
    <w:p>
      <w:r>
        <w:t>Die beiden Marken lassen keinen Sinngehalt erkennen. Auch wenn einem Teil des Abnehmerkreises die Abkürzung "asap" für "as soon as possible" bekannt sein sollte, so wird diese Bedeutung kaum mit dem angefochtenen Zeichen in Verbindung gebracht. Ebensowenig dürfte in seinem Anfangsbuchstaben "a" eine negierende Vorsilbe erkannt werden, zumal es sich bei "sap" um kein Adjektiv handelt. Dagegen dürften die Verkehrsteilnehmer in den beiden Kurzmarken Akronyme unbestimmten Inhalts erblicken. Da das angefochtene Zeichen sowohl vom Schriftbild als auch vom Klang her als eine Einheit wahrgenommen wird, sollte es insbesondere auch nicht als eine Serienmarke der Beschwerdegegnerin aufgefasst werden.</w:t>
      </w:r>
    </w:p>
    <w:p>
      <w:r>
        <w:rPr>
          <w:b/>
        </w:rPr>
        <w:t>E. 4.4</w:t>
      </w:r>
    </w:p>
    <w:p>
      <w:r>
        <w:t>Auch wenn die Beifügung oder Weglassung eines Buchstabens bei Wortmarken in aller Regel den Gesamteindruck nicht nachhaltig zu verändern vermag, so gilt dies nicht ohne weiteres bei Akronymen, die meistens Kurzzeichen sind. Solche werden phonetisch und visuell leichter erfasst, so dass sich auch deren Unterschiede, selbst wenn sie nur gerade einen Buchstaben betreffen, eher im Gedächtnis einprägen (RKGE in sic! 2005, S. 476 SMI/RSMI mit Hinweis auf BGE 121 III 377 E. 2b BOSS/BOKS; Marbach, a.a.O., N. 895 f.). Dies gilt insbesondere dann, wenn der unterschiedliche Buchstabe sich am Anfang des Akronyms befindet, da Akronyme sich häufig nur durch ihren ersten Buchstaben voneinander unterscheiden und das Publikum deshalb besonders auf diesen achtet (RKGE in sic! 2005, S. 476 SMI/RSMI; RKGE in sic! 2001, S. 325 SFS/TFS). Vorliegend führen die unterschiedliche Anzahl von Schriftzeichen und die daraus folgende unterschiedliche Wortlänge, insbesondere aber die deutliche Verschiedenheit des Zeichenanfangs in bildlicher und klanglicher Hinsicht dazu, dass eine unmittelbare Ähnlichkeit der beiden Marken zu verneinen ist. Ebensowenig liegt eine mittelbare Verwechslungsgefahr vor, setzt eine solche doch voraus, dass das betreffende mit der älteren Marke übereinstimmende Element der jüngeren Marke überhaupt als solches erkannt wird und nicht in einem neuen Gesamteindruck aufgeht. Akronyme werden indessen in aller Regel als einheitliche Gebilde aufgefasst, es sei denn sie würden mittels Trennstrich oder anderer grafischer Mittel unterteilt (RKGE in sic! 2005, S. 477 SMI/RSMI). In casu liegt weder eine solche Aufteilung vor, noch steht die umstrittene Buchstabenfolge "sap" am Anfang des angefochtenen Zeichens, wo ihr eine höhere Bedeutung zukäme. Im Übrigen ändert der Umstand, dass die vorliegend zur Diskussion stehenden Kurzmarken auch in einem Fluss gelesen werden können, nichts an einer Vergleichbarkeit mit den beiden als nicht verwechselbar befundenen Zeichen SMI und RSMI, kommt der unterschiedliche Zeichenanfang der jüngeren Marke doch bei beiden Lesearten genügend zur Geltung. Bezüglich der Gefahr des Überhörens des Anfangsbuchstabens des angefochtenen Zeichens sei angemerkt, dass selbst bei weitgehend identischen Waren die blosse, entfernte Möglichkeit einer Verwechslung noch keine Verwechslungsgefahr im Sinne von Art. 3 Abs. 1 lit. c MSchG begründet. Davon kann vielmehr erst die Rede sein, wenn wahrscheinlich ist, dass das Publikum einer Verwechslungsgefahr unterliegt (BGE 121 III 377 E. 2a BOSS/BOKS).</w:t>
      </w:r>
    </w:p>
    <w:p>
      <w:r>
        <w:rPr>
          <w:b/>
        </w:rPr>
        <w:t>E. 4.5</w:t>
      </w:r>
    </w:p>
    <w:p>
      <w:r>
        <w:t>Die Beschwerdegegnerin brachte im Übrigen vor, dass die Widerspruchsmarke für die umstrittenen Dienstleistungen hohe Bekanntheit geniesse. Ob es sich dabei jedoch um eine berühmte oder notorisch bekannte Marke handelt, welcher ein erhöhter Schutzumfang zuzubilligen ist, kann in casu dahingestellt bleiben, würde eine Verwechslungsgefahr doch auch diesfalls voraussetzen, dass das mit der älteren Marke übereinstimmende Element der jüngeren Marke überhaupt als solches erkannt wird und nicht in einem neuen Gesamteindruck aufgeht. Wie bereits in der vorangehenden Erwägung erläutert, spricht nichts dafür, dass die in der angefochtenen Marke enthaltene Buchstabenfolge "sap" als ein separates Element wahrgenommen und in Verbindung mit der Beschwerdegegnerin gebracht wird. Stattdessen wird das Zeichen als ein einheitliches Gebilde aufgefasst.</w:t>
      </w:r>
    </w:p>
    <w:p>
      <w:r>
        <w:rPr>
          <w:b/>
        </w:rPr>
        <w:t>E. 4.6</w:t>
      </w:r>
    </w:p>
    <w:p>
      <w:r>
        <w:t>Mangels Zeichenähnlichkeit ist eine Verwechslungsgefahr im Sinne von Art. 3 Abs. 1 lit. c MSchG ausgeschlossen. Die Beschwerde erweist sich demzufolge als begründet, womit sie gutzuheissen und die angefochtene Verfügung der Vorinstanz aufzuheben ist. Bei diesem Ausgang des Verfahrens wird die Beschwerdegegnerin kostenpflichtig und es steht der Beschwerdeführerin einen Anspruch auf Parteientschädigung zu (Art. 63 Abs. 1 und Art. 64 Abs. 1 VwVG).</w:t>
      </w:r>
    </w:p>
    <w:p>
      <w:r>
        <w:rPr>
          <w:b/>
        </w:rPr>
        <w:t>E. 5</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 21.Februar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(Johann Zürcher, Der Streitwert im Immaterialgüter- und Wettbewerbsprozess, sic! 2002, S. 505; Leonz Meyer, Der Streitwert in Prozessen um Immaterialgüterrechte und Firmen, sic! 2001,S. 559 ff., Lucas David, in: Roland von Büren/Lucas David [Hrsg.], Schweizerisches Immaterialgüter- und Wettbewerbsrecht, Bd. I/2, Der Rechtsschutz im Immaterialgüterrecht, Basel 1998, S. 29 f.).</w:t>
      </w:r>
    </w:p>
    <w:p>
      <w:r>
        <w:rPr>
          <w:b/>
        </w:rPr>
        <w:t>E. 6</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Beschwerdegegnerin an die Beschwerdeführerin von Fr. 3'000.- (inkl. MWST) für das erstinstanzliche Verfahren sowie das Beschwerdeverfahren angemessen.</w:t>
      </w:r>
    </w:p>
    <w:p>
      <w:r>
        <w:rPr>
          <w:b/>
        </w:rPr>
        <w:t>E. 7</w:t>
      </w:r>
    </w:p>
    <w:p>
      <w:r>
        <w:t>Gegen dieses Urteil steht keine Beschwerde an das Bundesgericht zur Verfügung (Art. 73 des Bundesgerichtsgesetzes vom 17. Juni 2005 [BGG; SR 173.110]). Es ist deshalb rechtskräftig. Demnach erkennt das Bundesverwaltungsgericht: 1. Die Beschwerde wird gutgeheissen, Ziffer 1, 2 und 4 des Entscheids des Eidgenössischen Instituts für Geistiges Eigentum vom 17. März 2009 werden aufgehoben, der Widerspruch wird abgewiesen und das Eidgenössische Institut für Geistiges Eigentum angewiesen der Schweizer Marke Nr. 570'876 vollumfänglich Schutz zu gewähren. 2. Die Verfahrenskosten von Fr. 4'000.- werden der Beschwerdegegnerin auferlegt. Der Betrag ist innert 30 Tagen nach Versand des vorliegenden Urteils zu Gunsten der Gerichtskasse zu überweisen. 3. Der Beschwerdeführerin ist der geleistete Kostenvorschuss von Fr. 5'000.- aus der Gerichtskasse zurückzuerstatten. 4. Die Beschwerdegegnerin hat die Beschwerdeführerin für das erstinstanzliche Verfahren und das Beschwerdeverfahren mit total Fr. 3'000.- (inkl. MWSt) zu entschädigen. 5. Dieses Urteil geht an: die Beschwerdeführerin (Einschreiben; Beilage: Beschwerdebeilagen zurück und Rückerstattungsformular) die Beschwerdegegnerin (Einschreiben; Beilage: Einzahlungsschein) die Vorinstanz (Wspr.-Nr. 9787; Einschreiben; Vernehmlassungsbeilagen zurück) Der vorsitzende Richter: Der Gerichtsschreiber: Hans Urech Marc Hunziker Versand: 31.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