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B-2681/2012 vom 22. Juli 2013</w:t>
      </w:r>
    </w:p>
    <w:p>
      <w:r>
        <w:t>Bundesverwaltungsgericht, 2013-07-22, DE</w:t>
      </w:r>
    </w:p>
    <w:p>
      <w:r>
        <w:rPr>
          <w:b/>
        </w:rPr>
        <w:t xml:space="preserve">Quelle: </w:t>
      </w:r>
      <w:r>
        <w:t>https://mcp.opencaselaw.ch/entscheid/bvger_B-2681_2012</w:t>
      </w:r>
    </w:p>
    <w:p>
      <w:r>
        <w:t>FR: TAF B-2681/2012 du 22 juillet 2013</w:t>
      </w:r>
    </w:p>
    <w:p>
      <w:r>
        <w:t>IT: TAF B-2681/2012 del 22 luglio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über das Bundesverwaltungsgericht vom 17. Juni 2005 [VGG], SR 173.32). Die Beschwerde wurde innert der gesetzlichen Frist von Art. 50 Abs. 1 des Bundesgesetzes vom 20. Dezember 1968 über das Verwaltungsverfahren (VwVG, SR 172.021) eingereicht und der verlangte Kostenvorschuss rechtzeitig geleistet. Als Widersprechende ist die Beschwerdeführerin durch die angefochtene Verfügung besonders berührt und beschwert (Art. 48 VwVG). Auf die Beschwerde ist daher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Der Inhaber einer älteren Marke kann gestützt auf Art. 3 Abs. 1 MSchG innerhalb von drei Monaten nach der Veröffentlichung der Eintragung Widerspruch erheben (Art. 31 MSchG).</w:t>
      </w:r>
    </w:p>
    <w:p>
      <w:r>
        <w:rPr>
          <w:b/>
        </w:rPr>
        <w:t>E. 3.1</w:t>
      </w:r>
    </w:p>
    <w:p>
      <w:r>
        <w:t>Eine ältere Marke wird nur geschützt, soweit sie im Zusammenhang mit den Waren und Dienstleistungen, für die sie beansprucht wird, hinreichend gebraucht worden ist (Art. 11 Abs. 1 MSchG). Der rechtserhaltende Gebrauch muss im Widerspruchsverfahren in den letzten fünf Jahren stattgefunden haben, bevor er durch die Gegenpartei einredeweise bestritten worden ist (vgl. Art. 32 MSchG). Art. 12 Abs. 1 MSchG gewährt dem Markeninhaber allerdings eine fünfjährige Karenzfrist, um den Gebrauch aufzunehmen. Ist die Karenzfrist im Zeitpunkt der ersten Stellungnahme zum Widerspruch noch nicht abgelaufen (vgl. Art. 22 Abs. 3 der Markenschutzverordnung vom 23. Dezember 1992 [MSchV, SR 232.111]), kann der Nichtgebrauch durch die Widerspruchsgegnerin nicht eingewendet werden.</w:t>
      </w:r>
    </w:p>
    <w:p>
      <w:r>
        <w:rPr>
          <w:b/>
        </w:rPr>
        <w:t>E. 3.2</w:t>
      </w:r>
    </w:p>
    <w:p>
      <w:r>
        <w:t>Die Inhaberin der Widerspruchsmarke hat ihren Sitz in Frankreich. Nach Art. 9sexies Abs. 1 Bst. a des Protokolls vom 27. Juni 1989 zum Madrider Abkommen über die internationale Registrierung von Marken (MMP; SR 0.232.112.4) findet in den Beziehungen zwischen Staaten, die wie Frankreich und die Schweiz Vertragsparteien sowohl des MMP als auch des Madrider Abkommens über die internationale Registrierung von Marken (MMA SR 0.232.112.3 in der in Stockholm am 14. Juli 1967 revidierten Fassung) sind, nur das MMP Anwendung (vgl. auch BGE 134 III 555 E. 2.1). Soweit das MMP Anwendung findet, beginnt die Karenzfrist 18 Monate nach dem Datum der Mitteilung der Schutzausdehnung "date de notification" (vgl. Art. 5.2 Bst. b MMP, Richtlinien des IGE in Markensachen [Stand: 1. 7. 2012] Teil 5, Ziffer 6.3.1). Die Widerspruchsmarke wurde am 26. Oktober 2006 notifiziert, weshalb die Karenzfrist 18 Monate später zu laufen begann und fünf Jahre später, d.h. am 26. April 2013, endet. Da die Karenzfrist im Zeitpunkt der Einrede des Nichtgebrauchs (am 25. August 2011) noch nicht abgelaufen war, ist die Einrede des Nichtgebrauchs der Beschwerdegegnerin nicht zu beachten. Das Datum, an dem das vorliegende Urteil gefällt wird, hat diesbezüglich keinen Einfluss, da eine Nichtgebrauchseinrede im Widerspruchsbeschwerdeverfahren ohnehin zu spät erfolgt (Urteile des Bundesverwaltungsgerichts B-1641/ 2007 vom 3. Oktober 2007 E. 4 Summer Parade, B-38,39,40/2011 vom 29. April 2011 Erw. 4.1.1 IKB/ICB, ICB (fig.), ICB Banking).</w:t>
      </w:r>
    </w:p>
    <w:p>
      <w:r>
        <w:rPr>
          <w:b/>
        </w:rPr>
        <w:t>E. 4.1</w:t>
      </w:r>
    </w:p>
    <w:p>
      <w:r>
        <w:t>Eine Verwechslungsgefahr besteht, wenn aufgrund der Ähnlichkeit der Marke Fehlzurechnungen zu befürchten sind, welche das besser berechtigte Zeichen in seiner Individualisierungsfunktion beeinträchtigen (BGE 127 III 160 E. 2a Securitas/Securicall).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441 E. 3.1 Appenzeller, BGE 122 III 382 E. 1 Kamillosan/Kamillon, Kamillan, je mit weiteren Hinweisen). Die Beurteilung der Verwechslungsgefahr richtet sich nach der Ähnlichkeit der Zeichen im Erinnerungsbild des Letztabnehmers (BGE121 III 377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w:t>
      </w:r>
    </w:p>
    <w:p>
      <w:r>
        <w:rPr>
          <w:b/>
        </w:rPr>
        <w:t>E. 4.2</w:t>
      </w:r>
    </w:p>
    <w:p>
      <w:r>
        <w:t>Ob eine Verwechslungsgefahr besteht, hängt auch vom Schutzumfang der Widerspruchsmarke ab (Urteil des Bundesverwaltungsgerichts B-7017/2008 vom 11. Februar 20120 E. 2.4 Plus/Plusplus [fig.]; Gallus Joller, in: Michael Noth/Gregor Bühler/Florent Thouvenin [Hrsg.], Markenschutzgesetz [MSchG], Bern 2009, Art. 3 N. 74, mit Hinweisen). Der geschützte Ähnlichkeitsbereich für schwache Marken ist dabei kleiner als für starke. Bei schwachen Marken genügen daher bereits bescheidenere Abweichungen in der jüngeren Marke, um eine Verwechslungsgefahr auszuschliessen (BGE 122 II 382 E. 2a Kamillosan/Kamillon, Kamillan Urteil des Bundesverwaltungsgericht B-1136/2009 vom 9. Juli 2010 E. 3.3 Pernaton/Pernadol, mit Hinweisen; Gallus Joller, a.a.O., Art. 3 N. 74, mit zahlreichen Hinweisen auf Rechtsprechung und Literatur). Schwach sind insbesondere Marken, deren prägende Elemente beschreibenden Charakter haben (BVGE 2010/32 E. 7.3 Pernaton/Pernadol, Urteil des Bundesverwaltungsgerichts B-7492/2006 vom 12. Juli 2007 E. 5 Aromata/Aromathera). Dagegen gelten Fantasiemarken, die mit einem gewissen Aufwand an Arbeit und Kreativität geschaffen wurden, als stark (BGE 122 III 382 E. 2a Kamillosan/Kamillon, Kamillan, mit Hinweisen; Urteil des Bundesverwaltungsgerichts B-7475/2006 vom 20. Juni 2007 E. 6 und 7 Converse All Stars [fig.]/Army tex [fig.]; Eugen Marbach, in: Roland von Büren/Lucas David [Hrsg.], Schweizerisches Immaterialgüter- und Wettbewerbsrecht, Bd. III/1, Markenrecht, 2. Aufl., Basel 2009 [hiernach: SIWR III/1], N. 979, mit Hinweisen).</w:t>
      </w:r>
    </w:p>
    <w:p>
      <w:r>
        <w:rPr>
          <w:b/>
        </w:rPr>
        <w:t>E. 4.3</w:t>
      </w:r>
    </w:p>
    <w:p>
      <w:r>
        <w:t>Stimmen zwei Marken ausschliesslich in gemeinfreien Elementen überein, liegt keine markenrechtliche Zeichenähnlichkeit vor (Urteil des Bundesverwaltungsgerichts B-3508/2008 vom 9. Februar 2008 E. 9.3 KaSa/Biocasa; Joller, a.a.O., Art. 3 N. 125 f., mit Hinweisen; Christoph Willi, Kommentar Markenschutzgesetz, Das schweizerische Markenrecht unter Berücksichtigung des europäischen und internationalen Markenrechts, Zürich 2002, Art. 3 N. 133 ff.). Im Gemeingut stehende Markenelemente sind bei der Beurteilung der Verwechslungsgefahr jedoch nicht einfach wegzustreichen, sondern in Anrechnung ihrer für sich genommen geringen oder fehlenden Kennzeichnungskraft dennoch im Gesamteindruck der Marke zu berücksichtigen (Urteil des Bundesverwaltungsgerichts B-7346/2009 vom 27. September 2010 E. 2.5 Murino/Murolino, mit Hinweisen).</w:t>
      </w:r>
    </w:p>
    <w:p>
      <w:r>
        <w:rPr>
          <w:b/>
        </w:rPr>
        <w:t>E. 4.4</w:t>
      </w:r>
    </w:p>
    <w:p>
      <w:r>
        <w:t>Ebenfalls von Bedeutung ist, an welche Abnehmerkreise sich die Waren richten und unter welchen Umständen sie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Rivella/Apiella).</w:t>
      </w:r>
    </w:p>
    <w:p>
      <w:r>
        <w:rPr>
          <w:b/>
        </w:rPr>
        <w:t>E. 4.5</w:t>
      </w:r>
    </w:p>
    <w:p>
      <w:r>
        <w:t>Nach ständiger Rechtsprechung genügt eine Verwechselbarkeit in einem Sprachgebiet, um in der ganzen Schweiz einen Abwehranspruch gegen die jüngere Marke zu begründen (Joller, a.a.O., 3, N. 139, mit weiteren Hinweisen).</w:t>
      </w:r>
    </w:p>
    <w:p>
      <w:r>
        <w:rPr>
          <w:b/>
        </w:rPr>
        <w:t>E. 4.6</w:t>
      </w:r>
    </w:p>
    <w:p>
      <w:r>
        <w:t>Bei reinen Wortmarken ist der Wortklang, das Schriftbild und gegebenenfalls der Sinngehalt massgebend (BGE 127 III 160 E. 2b/cc Securitas/Securicall; BGE 121 III 377 E. 2b Boss/Boks). Der Wortklang wird im Wesentlichen durch die Silbenzahl, die Aussprachekadenz und die Aufeinanderfolge der Vokale bestimmt, das Erscheinungsbild durch die Wortlänge und die optische Wirkung der Buchstaben (BGE 122 III 382 E. 5a Kamillosan/Kamillon, Kamillan, BGE 119 II 473 E. 2c Radion/Radomat; Rekurskommission für geistiges Eigentum [RKGE] vom 11. September 2001 in: sic! 2002 S. 101 E. 6 Mikron [fig.]/Mikromat [fig.]). Von Bedeutung ist die Frage, welche Silben den Wortklang besonders prägen. Besonders ins Gewicht fallen oft Übereinstimmungen oder Abweichung im Wortanfang (Joller, a.a.O., N. 150, 153, Marbach, SIWR III/1, N. 881).</w:t>
      </w:r>
    </w:p>
    <w:p>
      <w:r>
        <w:rPr>
          <w:b/>
        </w:rPr>
        <w:t>E. 5.1</w:t>
      </w:r>
    </w:p>
    <w:p>
      <w:r>
        <w:t>Als erstes sind die massgeblichen Verkehrskreise für die im Widerspruch stehenden Waren zu bestimmen (Eugen Marbach, Die Verkehrskreise im Markenrecht, in: sic! 2007, S. 1, 6 f. und 11). Dabei ist das Warenverzeichnis der älteren Marke der Ausgangspunkt (Joller, a.a.O., Art. 3 N. 49).</w:t>
      </w:r>
    </w:p>
    <w:p>
      <w:r>
        <w:rPr>
          <w:b/>
        </w:rPr>
        <w:t>E. 5.2</w:t>
      </w:r>
    </w:p>
    <w:p>
      <w:r>
        <w:t>Die Widerspruchsmarke APRIL ist, soweit hier interessierend, eingetragen für die Dienstleistung Versicherungen. Versicherungen werden von Durchschnittskonsumenten wie auch Fachleuten beansprucht. Da es sich nicht um Produkte des täglichen Gebrauchs handelt, kann davon ausgegangen werden, dass auch Durchschnittskonsumenten das Angebot und den Anbieter etwas genauer prüfen (Urteile des Bundesverwaltungsgerichts B-38,39,40/2011 vom 29. April 2011 E. 8.1 IKB/ICB (fig.), ICB, B-7698/2008 vom 4. Dezember 2008 E. 5.2 Etavis/Estavis).</w:t>
      </w:r>
    </w:p>
    <w:p>
      <w:r>
        <w:rPr>
          <w:b/>
        </w:rPr>
        <w:t>E. 6.1</w:t>
      </w:r>
    </w:p>
    <w:p>
      <w:r>
        <w:t>Vor einem Zeichenvergleich ist weiter zu prüfen, ob die beanspruchten Dienstleistungen gleich sind.</w:t>
      </w:r>
    </w:p>
    <w:p>
      <w:r>
        <w:rPr>
          <w:b/>
        </w:rPr>
        <w:t>E. 6.2</w:t>
      </w:r>
    </w:p>
    <w:p>
      <w:r>
        <w:t>Beide Zeichen beanspruchen in Klasse 36 übereinstimmend die Dienstleistung "assurances".</w:t>
      </w:r>
    </w:p>
    <w:p>
      <w:r>
        <w:rPr>
          <w:b/>
        </w:rPr>
        <w:t>E. 6.3</w:t>
      </w:r>
    </w:p>
    <w:p>
      <w:r>
        <w:t>Die angefochtene Marke ist in dieser Klasse zudem eingetragen für "affaires financières, affaires monétaires". Die Rechtsprechung betrachtet Beratungsdienstleistungen im Bereich Banken, Versicherungen, Immobilien und Geschäftsführung weitgehend als gleichartig (RKGE vom 24. Mai 2002, in sic! 2002 S. 529 E. 4 arc All Risk Consulting (fig.)/Arcstar (fig.); Urteil des Bundesverwaltungsgerichts B-37/2011 vom 6. Oktober 2011 E. 4 Sansan/Santasana; Joller, a.a.O. Art. 3 N. 292, mit Hinweisen).</w:t>
      </w:r>
    </w:p>
    <w:p>
      <w:r>
        <w:rPr>
          <w:b/>
        </w:rPr>
        <w:t>E. 6.4</w:t>
      </w:r>
    </w:p>
    <w:p>
      <w:r>
        <w:t>Die in Klasse 36 von der angefochtenen Marke beanspruchten Dienstleistungen sind demzufolge identisch bzw. gleichartig mit denjenigen der Widerspruchsmarke. 7.1 Im Vergleich der Zeichen steht der Widerspruchsmarke APRIL die jüngere Marke APIL - ASSURANCE POUR IMPAYÉS DE LOYER gegenüber. Beides sind Wortmarken. 7.2 APRIL und APIL sind sich sehr ähnlich. Beide sind kurze Wörter, bestehend aus fünf bzw. vier Buchstaben. Identisch sind Zeichenanfang und -ende, die Silbenzahl (je zwei) und die Vokalfolge (a-i). Auch die Konsonantenfolge ist ähnlich, unterscheidet sich einzig durch das zusätzliche "r" in der Mitte des älteren Zeichens. Dieses folgt auf einen andern Konsonanten ("p") und ist damit klanglich wenig wahrnehmbar. Auch visuell ragt das "r" nicht hervor. Aufgrund dieses geringen Unterschieds sind APRIL und APIL im gedächtnisbedingt verschwommenen Erinnerungsbild (vgl. BGE 121 III 377 E. 2a Boss/Boks; Joller, a.a.O., N. 129) nur schlecht auseinanderhaltbar. 7.3 Die Widerspruchsmarke beschränkt sich auf "APRIL", das angefochtene Zeichen enthält neben "APIL" den Zusatz " Assurance Pour Impayés de Loyer". Damit unterscheidet es sich klanglich wie auch visuell von der Widerspruchsmarke.</w:t>
      </w:r>
    </w:p>
    <w:p>
      <w:r>
        <w:rPr>
          <w:b/>
        </w:rPr>
        <w:t>E. 8.1</w:t>
      </w:r>
    </w:p>
    <w:p>
      <w:r>
        <w:t>Um das Vorliegen der Verwechslungsgefahr zu beurteilen, ist der Schutzumfang der Widerspruchsmarke und damit deren Kennzeichnungskraft zu bestimmen.</w:t>
      </w:r>
    </w:p>
    <w:p>
      <w:r>
        <w:rPr>
          <w:b/>
        </w:rPr>
        <w:t>E. 8.2</w:t>
      </w:r>
    </w:p>
    <w:p>
      <w:r>
        <w:t>Die Widerspruchsmarke lautet "APRIL". April ist in der deutschen Sprache die Bezeichnung des vierten Monats im Jahr. Es ist ein Wort der Alltagssprache. In der französischen Sprache - die in der angefochtenen Marke teilweise verwendet wird - ist das entsprechende Wort "avril" sehr ähnlich. Kaum bekannt ist "April" als Vor- oder Familienname (www.local.ch, Private: 30 Treffer am 8.7.2013).</w:t>
      </w:r>
    </w:p>
    <w:p>
      <w:r>
        <w:rPr>
          <w:b/>
        </w:rPr>
        <w:t>E. 8.3</w:t>
      </w:r>
    </w:p>
    <w:p>
      <w:r>
        <w:t>Die Widerspruchsmarke ist, soweit hier interessierend, eingetragen für Versicherungen. Diese werden unabhängig von Jahreszeit und Datum angeboten. Es ist zwar möglich, dass sie für eine bestimmte Zeitspanne beansprucht werden. Dies ist jedoch durch das im Einzelfall versicherte Ereignis bedingt, nicht eine Eigenschaft der allgemein angebotenen Dienstleistung. Versicherungen werden deshalb nicht mit einem Monatsdatum in einen gedankliche Zusammenhang gebracht. APRIL wird demzufolge im Sinne einer Fantasiebezeichnung verwendet und hat als solche einen normalen Schutzumfang.</w:t>
      </w:r>
    </w:p>
    <w:p>
      <w:r>
        <w:rPr>
          <w:b/>
        </w:rPr>
        <w:t>E. 9.1</w:t>
      </w:r>
    </w:p>
    <w:p>
      <w:r>
        <w:t>Massgebend für die Beurteilung der Verwechslungsgefahr ist das Gesamtbild der beiden Zeichen.</w:t>
      </w:r>
    </w:p>
    <w:p>
      <w:r>
        <w:rPr>
          <w:b/>
        </w:rPr>
        <w:t>E. 9.2</w:t>
      </w:r>
    </w:p>
    <w:p>
      <w:r>
        <w:t>Ein Unterschied zwischen den beiden Zeichen entsteht vor allem durch den Zeichenteil "Assurance Pour Impayés de Loyer" im angefochtenen Zeichen. Durch diesen Wortteil wird das jüngere Zeichen optisch und klanglich wesentlich länger als die Widerspruchsmarke. "Assurance Pour Impayés de Loyer" beschreibt jedoch eine Dienstleistung, die unter dem angefochtenen Zeichen angeboten werden kann. Zumindest für französischsprachige Personen ist dies eindeutig erkennbar. Der Zusatz "Assurance Pour Impayés de Loyer" gehört somit dem Gemeingut an und hat bereits deshalb eine geringe Kennzeichnungskraft. Hinzu kommt, dass der Zusatz kaum mit einer kennzeichnenden Funktion wahrgenommen wird. Es scheint sich vielmehr um die Präzisierung eines Angebots zu handeln, welche einem beliebigen Zeichen beigefügt werden könnte. Aufgrund des Dienstleistungsverzeichnisses könnte das gleiche Produkt auch von der Widerspruchsmarke angeboten werden. Im Gesamtbild richtet sich demzufolge bei der angefochtenen Marke das Augenmerk, wie die Vorinstanz bereits feststellte, auf APIL (vgl. hierzu Urteil des Bundesverwaltungsgerichts B-7367/2010 vom 9. Dezember 2011 E. 6.1.2 f. Höfer Family Office (fig.)/Hofer). Der Zeichenteil "Assurance Pour Impayés de Loyer" steht deshalb einer Verwechslungsgefahr zwischen den beiden Marken nicht entgegen.</w:t>
      </w:r>
    </w:p>
    <w:p>
      <w:r>
        <w:rPr>
          <w:b/>
        </w:rPr>
        <w:t>E. 9.3</w:t>
      </w:r>
    </w:p>
    <w:p>
      <w:r>
        <w:t>Wie oben dargelegt, unterscheiden sich "APRIL" und "APIL" kaum. Eine derart minimale visuelle und klangliche Abweichung reicht bei identischen oder ähnlichen Dienstleistungen nicht aus, um eine Verwechslungsgefahr auszuschliessen, selbst wenn von einer erhöhten Aufmerksamkeit der massgebenden Verkehrskreise ausgegangen wird.</w:t>
      </w:r>
    </w:p>
    <w:p>
      <w:r>
        <w:rPr>
          <w:b/>
        </w:rPr>
        <w:t>E. 9.4</w:t>
      </w:r>
    </w:p>
    <w:p>
      <w:r>
        <w:t>Die Beschwerdegegnerin betont jedoch den unterschiedlichen Sinngehalt von "APRIL" und "APIL". Ein unterschiedlicher Sinngehalt wirkt einzig dann abgrenzend, wenn er von den massgeblichen Verkehrskreisen spontan erkannt und verstanden wird (Marbach, SIWR III/1, N. 889, mit Hinweisen). Das im Widerspruchszeichen verwendete "APRIL" entspricht einem Monatsnamen, ohne dass dieser einen näheren Bezug zu den angebotenen Produkten hat. In Verbindung mit den beanspruchten Dienstleistungen ist er eine Fantasiebezeichnung. APIL wiederum ist - wie dies die Beschwerdegegnerin betont - die Abkürzung vom " Assurance Pour Impayés de Loyer". Zwar ist es keine in der Umgangssprache übliche Abkürzung. Die gleiche Buchstabenfolge kann auch andere Bedeutungen haben. So ergibt eine Internetsuche vor allem in der französischen und englischen Sprache Bezeichnungen von Vereinen und Vereinigungen ("association") verschiedener Art. Im Zusammenhang mit dem weiteren Zeichenteil " Assurance Pour Impayés de Loyer" ist "APIL" jedoch als dessen Abkürzung - bestehend aus den Anfangsbuchstaben der massgebenden Wörter - erkennbar. Allerdings ist es auch möglich, dass die Adressaten diesen Zusammenhang, der eine gewisse Gedankenarbeit voraussetzt, nicht erkennen und "APIL" als Fantasiebezeichnung verstehen. Soweit der Sinngehalt der angefochtenen Marke beschreibend ist für ein (möglicherweise) angebotenes Produkt, könnte die entsprechende Produktbeschreibung aufgrund des Dienstleistungsverzeichnisses auch auf ein Angebot der Widerspruchsmarke passen und demzufolge dieser zugeschrieben werden. Falls und soweit das Zeichen als Fantasiebezeichnung aufgefasst wird, ist der Sinngehalt mit demjenigen der Widerspruchsmarke identisch. Der Sinngehalt der jüngeren Marke schafft deshalb keine Abgrenzung zu der älteren Marke.</w:t>
      </w:r>
    </w:p>
    <w:p>
      <w:r>
        <w:rPr>
          <w:b/>
        </w:rPr>
        <w:t>E. 9.5</w:t>
      </w:r>
    </w:p>
    <w:p>
      <w:r>
        <w:t>Aus den genannten Gründen unterscheidet sich das jüngere Zeichen nicht in genügender Weise vom älteren, um eine Verwechslungsgefahr bzw. Fehlzurechnungen auszuschliessen.</w:t>
      </w:r>
    </w:p>
    <w:p>
      <w:r>
        <w:rPr>
          <w:b/>
        </w:rPr>
        <w:t>E. 9.6</w:t>
      </w:r>
    </w:p>
    <w:p>
      <w:r>
        <w:t>Die Beschwerde ist deshalb gutzuheissen, Ziff. 1 und 3 der Verfügung vom 13. April 2012 sind aufzuheben, der Widerspruch Nr. 11915 gutzuheissen, und die Vorinstanz anzuweisen, die Marke Nr. 615791 APIL - ASSURANCE POUR IMPAYÉS DE LOYER für die in Klasse 36 beanspruchten "aussurances; affaires financières, affaires monétaires; affaires immobilières" zu löschen.</w:t>
      </w:r>
    </w:p>
    <w:p>
      <w:r>
        <w:rPr>
          <w:b/>
        </w:rPr>
        <w:t>E. 10.1</w:t>
      </w:r>
    </w:p>
    <w:p>
      <w:r>
        <w:t>Im vorliegenden Verfahren obsiegt die Beschwerdeführerin.</w:t>
      </w:r>
    </w:p>
    <w:p>
      <w:r>
        <w:rPr>
          <w:b/>
        </w:rPr>
        <w:t>E. 10.2</w:t>
      </w:r>
    </w:p>
    <w:p>
      <w:r>
        <w:t>Die Beschwerdeinstanz auferlegt in der Entscheidungsformel die Verfahrenskosten, bestehend aus Spruchgebühr, Schreibgebühren und Barauslagen, in der Regel der unterliegenden Partei. Unterliegt diese nur teilweise, so werden die Verfahrenskosten ermässigt. Ausnahmsweise können sie ihr erlassen werden (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Turbinenfuss). Von diesem Erfahrungswert ist auch im vorliegenden Verfahren auszugehen. Es sprechen keine konkreten Anhaltspunkte für einen höheren oder niedrigeren Wert der strittigen Marke. Nach dem Gesagten rechtfertigt es sich, die Verfahrenskosten auf Fr. 3'500.- festzulegen. Diese sind der Beschwerdegegnerin aufzuerlegen. Der von der Beschwerdeführerin einbezahlte Kostenvorschusses von Fr. 3'500.- ist ihr zurückzuerstatten.</w:t>
      </w:r>
    </w:p>
    <w:p>
      <w:r>
        <w:rPr>
          <w:b/>
        </w:rPr>
        <w:t>E. 10.3</w:t>
      </w:r>
    </w:p>
    <w:p>
      <w:r>
        <w:t>Die Beschwerdeinstanz kann der ganz oder teilweise obsiegenden Partei von Amtes wegen oder auf Begehren eine Entschädigung für ihr erwachsene notwendige und verhältnismässig hohe Kosten zusprechen (Art. 64 Abs. 1 VwVG). Der Rechtsvertreter der Beschwerdeführerin hat dem Bundesverwaltungsgericht eine Kostennote in der Höhe von Fr. 7'000.- für die Zeit ab dem 27. Juli 2011 zukommen lassen. Eine detaillierte Aufstellung der Kosten und insbesondere deren Verteilung auf das Widerspruchs- und Beschwerdeverfahren fehlt. In Würdigung vergleichbarer Fälle, der eingereichten Beschwerdeschriftantwort und der Tatsache, dass es sich eher um einen durchschnittlichen Fall handelt, erscheint eine Parteientschädigung für das Verfahren vor dem Bundesverwaltungsgericht von Fr. 3'000.- (exkl. MWST) als angemessen. Die Mehrwertsteuer ist nur für Dienstleistungen geschuldet, die im Inland gegen Entgelt erbracht werden, nicht jedoch im vorliegenden Fall, in dem die Dienstleistung der Rechtsvertreter der Beschwerdeführerin mit Sitz im Ausland erbracht worden ist (Art. 8 Abs. 1 des Bundesgesetzes vom 12. Juni 2009 über die Mehrwertsteuer [Mehrwertsteuergesetz, MWSTG, SR 641.20] i.V.m. Art. 18 Abs. 1 MWSTG und Art. 9 Abs. 1 Bst. c VKGE, siehe auch Art. 112 MWSTG). Die Beschwerdegegnerin hat somit der Beschwerdeführerin eine Parteientschädigung von Fr. 3'000.- (exkl. MWSt) für das Verfahren vor dem Bundesverwaltungsgericht zu leisten.</w:t>
      </w:r>
    </w:p>
    <w:p>
      <w:r>
        <w:rPr>
          <w:b/>
        </w:rPr>
        <w:t>E. 10.4</w:t>
      </w:r>
    </w:p>
    <w:p>
      <w:r>
        <w:t>Im vorinstanzlichen Verfahren ist die Beschwerdeführerin unterlegen. Aufgrund des Verfahrensausgangs vor Bundesverwaltungsgericht hat sie indessen mit Bezug auf die vorinstanzlichen Kosten als obsiegend zu gelten. Demzufolge sind die diesbezüglichen Kosten neu zu verteilen. Die von der Beschwerdeführerin einbezahlte Widerspruchsgebühr(Fr. 800.-) verbleibt bei der Vorinstanz, und der Beschwerdeführerin ist für das erstinstanzliche Verfahren zu Lasten der Beschwerdegegnerin eine Parteientschädigung inkl. Widerspruchsgebühr von Fr. 1'800.- zuzusprechen (vgl. Ziff. 2 und 3. des Widerspruchsentscheids).</w:t>
      </w:r>
    </w:p>
    <w:p>
      <w:r>
        <w:rPr>
          <w:b/>
        </w:rPr>
        <w:t>E. 11</w:t>
      </w:r>
    </w:p>
    <w:p>
      <w:r>
        <w:t>Gegen dieses Urteil steht keine Beschwerde an das Bundesgericht zur Verfügung (Art. 73 des Bundesgesetzes über das Bundesgericht vom 17. Juni 2005 [Bundesgerichtsgesetz, BGG, SR 173.110]). Es ist deshalb endgültig und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