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B-2659/2012 vom 3. September 2012</w:t>
      </w:r>
    </w:p>
    <w:p>
      <w:r>
        <w:t>Bundesverwaltungsgericht, 2012-09-03, DE</w:t>
      </w:r>
    </w:p>
    <w:p>
      <w:r>
        <w:rPr>
          <w:b/>
        </w:rPr>
        <w:t xml:space="preserve">Quelle: </w:t>
      </w:r>
      <w:r>
        <w:t>https://mcp.opencaselaw.ch/entscheid/bvger_B-2659_2012</w:t>
      </w:r>
    </w:p>
    <w:p>
      <w:r>
        <w:t>FR: TAF B-2659/2012 du 3 septembre 2012</w:t>
      </w:r>
    </w:p>
    <w:p>
      <w:r>
        <w:t>IT: TAF B-2659/2012 del 3 settembre 2012</w:t>
      </w:r>
    </w:p>
    <w:p>
      <w:pPr>
        <w:pStyle w:val="Heading2"/>
      </w:pPr>
      <w:r>
        <w:t>Regeste</w:t>
      </w:r>
    </w:p>
    <w:p>
      <w:r>
        <w:t>Edelmetalle</w:t>
      </w:r>
    </w:p>
    <w:p>
      <w:pPr>
        <w:pStyle w:val="Heading2"/>
      </w:pPr>
      <w:r>
        <w:t>Erwägungen</w:t>
      </w:r>
    </w:p>
    <w:p>
      <w:r>
        <w:rPr>
          <w:b/>
        </w:rPr>
        <w:t>E. 1</w:t>
      </w:r>
    </w:p>
    <w:p>
      <w:r>
        <w:t>Der Entscheid der Vorinstanz vom 19. April 2012 stellt eine Verfügung im Sinne von Art. 5 Abs. 1 des Bundesgesetzes über das Verwaltungsverfahren vom 20. Dezember 1968 (VwVG, SR 172.021) dar. Nach Art. 31 und 33 Bst. d des Verwaltungsgerichtsgesetzes vom 17. Juni 2005 (VGG, SR 173.32) i.V.m. Art. 5 und 44 VwVG können Verfügungen der Vorinstanz mit Beschwerde beim Bundesverwaltungsgericht angefochten werden. Der Beschwerdeführer ist als Adressat der angefochtenen Verfügung durch diese berührt und hat somit ein schutzwürdiges Interesse an ihrer Aufhebung oder Änderung. Er ist daher zur Beschwerdeführung legitimiert (Art. 48 Abs. 1 VwVG). Eingabefrist und -form sind gewahrt (Art. 50 und 52 Abs. 1 VwVG), der Kostenvorschuss wurde fristgemäss bezahlt (Art. 63 Abs. 4 VwVG) und es liegt eine rechtsgültige Vollmacht der Rechtsvertreter vor. Auch die übrigen Sachurteilsvoraussetzungen sind erfüllt. Auf die Beschwerde ist daher einzutreten.</w:t>
      </w:r>
    </w:p>
    <w:p>
      <w:r>
        <w:rPr>
          <w:b/>
        </w:rPr>
        <w:t>E. 2</w:t>
      </w:r>
    </w:p>
    <w:p>
      <w:r>
        <w:t>Edelmetalle im Sinne des Edelmetallkontrollgesetzes sind Gold, Silber, Platin und Palladium (Art. 1 Abs. 1 des Bundesgesetzes über die Kontrolle des Verkehrs mit Edelmetallen und Edelmetallwaren vom 20. Juni 1933 [Edelmetallkontrollgesetz, EMKG], SR 941.31). Edelmetallwaren sind - mit Ausnahme von Münzen - Waren, die ganz aus Edelmetallen mit einem gesetzlichen Feingehalt bestehen, sowie Waren aus Edelmetallen mit einem gesetzlichen Feingehalt in Verbindung mit nichtmetallischem Material (Art. 1 Abs. 4 EMKG). Mehrmetallwaren sind Waren, die aus Edelmetallen mit einem gesetzlichen Feingehalt und unedlen Metallen zusammengesetzt sind (Art. 1 Abs. 5 EMKG). Als Plaquéwaren gelten Waren, bei denen eine Schicht aus Edelmetall mit einer Unterlage aus anderem Material fest verbunden ist (Art. 2 Abs. 1 EMKG). Als Ersatzwaren gelten Waren aus Edelmetallen, welche die gesetzlichen Mindestfeingehalte nicht erreichen oder den übrigen materiellen Anforderungen an Edelmetallwaren nicht genügen sowie Waren, die den Mehrmetall- oder Plaquéwaren entsprechen, aber nicht als solche bezeichnet sind oder den materiellen Anforderungen an diese Warenkategorien nicht genügen (Art. 2 Abs. 3 EMKG). Soweit das Edelmetallkontrollgesetz oder die Edelmetallkontrollverordnung Warenbezeichnungen vorschreiben oder als zulässig erklären, müssen diese auf die Zusammensetzung der Ware hinweisen (Art. 6 S. 1 EMKG). Jede zur Täuschung geeignete Bezeichnung auf Edelmetall-, Mehrmetall-, Plaqué- oder Ersatzwaren und auf Gegenständen, die mit solchen verwechselt werden können, ist untersagt (Art. 6 S. 2 EMKG). Im Ausland hergestellte, dem Edelmetallkontrollgesetz unterstellte Waren dürfen nur in den Inlandverkehr gebracht werden, wenn sie den Vorschriften dieses Gesetzes entsprechen (Art. 20 Abs. 1 S. 1 EMKG). Entspricht die Ware den gesetzlichen Vorschriften nicht, ohne dass eine strafbare Handlung vorliegt, so wird sie über die Grenze zurückgewiesen (Art. 20 Abs. 3 Satz 3 EMKG). Gestützt auf Art. 59 Abs. 2 EMKG hat der Bundesrat die Verordnung über die Kontrolle des Verkehrs mit Edelmetallen und Edelmetallwaren vom 8. Mai 1934 (Edelmetallkontrollverordnung, EMKV, SR 941.311) erlassen. Die Vorinstanz überwacht den Verkehr mit Edelmetallen und Edelmetallwaren (Art. 36 Abs. 1 EMKG). Die Kontrollämter haben das Zentralamt in seiner Aufsichtsführung über die Handhabung des Edelmetallkontrollgesetzes zu unterstützen. Insbesondere haben sie ihm alle von ihnen wahrgenommenen Vergehen anzuzeigen und die erforderlichen Massnahmen zur Feststellung des Tatbestandes von sich aus oder nach Weisung des Zentralamtes oder der Polizeibehörden vorzunehmen (Art. 38 Abs. 2 EMKG). Das Zentralamt kann den Kontrollämtern im Einzelfall die Vornahme von Untersuchungen und Feststellungen hinsichtlich vorgekommener Gesetzesverletzungen übertragen (Art. 14 Abs. 3 EMKV). Nimmt das Kontrollamt von sich aus ein Vergehen oder eine Ordnungsverletzung wahr, so hat es die nötigen vorläufigen Feststellungen zu machen und hierauf das Zentralamt unter Einsendung der Akten zu benachrichtigen. Dieses bestimmt, welche weiteren Massnahmen zu treffen sind (Art. 14 Abs. 4 EMKV). Verfügungen der Kontrollämter können mit Beschwerde an das Zentralamt angefochten werden (Art. 43 EMKG).</w:t>
      </w:r>
    </w:p>
    <w:p>
      <w:r>
        <w:rPr>
          <w:b/>
        </w:rPr>
        <w:t>E. 3</w:t>
      </w:r>
    </w:p>
    <w:p>
      <w:r>
        <w:t>Der Beschwerdeführer rügt vorab, die Vorinstanz sei zum Erlass der angefochtenen Verfügung funktionell nicht zuständig gewesen. Gemäss Art. 131 EMKV sei für die Kontrolle und für Anordnungen im Zusammenhang mit der Einfuhr der Bilderrahmen nicht die Vorinstanz, sondern das Edelmetallkontrollamt Chiasso zuständig. Der Vorinstanz obliege lediglich der Entscheid über Beschwerden gegen Verfügungen von Kontrollämtern. Unterlasse das zuständige Kontrollamt als Erstinstanz den Erlass einer anfechtbaren Verfügung, gehe die Zuständigkeit nicht ohne Weiteres auf die nächsthöhere Instanz über. Andernfalls würde dem Beschwerdeführer eine Rechtsmittelinstanz entzogen.</w:t>
      </w:r>
    </w:p>
    <w:p>
      <w:r>
        <w:rPr>
          <w:b/>
        </w:rPr>
        <w:t>E. 3.1</w:t>
      </w:r>
    </w:p>
    <w:p>
      <w:r>
        <w:t>Gemäss Art. 131 EMKV können die Kontrollämter bei der Kontrolle der Waren anlässlich der Einfuhr die erforderlichen analytischen Untersuchungen vornehmen. Wird bei der Untersuchung ein Vergehen festgestellt, so wird die Ware beschlagnahmt und dem Zentralamt zur Erstattung einer Strafanzeige zugestellt. Entsprechen die Waren nicht den Vorschriften, ohne dass ein Vergehen vorliegt, werden sie gegen Bezahlung der bei der Beanstandung angefallenen Kosten zurückgewiesen.</w:t>
      </w:r>
    </w:p>
    <w:p>
      <w:r>
        <w:rPr>
          <w:b/>
        </w:rPr>
        <w:t>E. 3.2</w:t>
      </w:r>
    </w:p>
    <w:p>
      <w:r>
        <w:t>Dieser Bestimmung kann zwar entnommen werden, dass es das Kontrollamt Chiasso gewesen wäre, das funktional zuständig gewesen wäre, die Beschlagnahmung oder Zurückweisung nicht gesetzeskonformer Importware zu verfügen. Wie die Vorinstanz indessen zu Recht geltend macht, ist eine hierarchisch übergeordnete Verwaltungseinheit grundsätzlich jederzeit befugt, einzelne Geschäfte aus dem Zuständigkeitsbereich einer untergeordneten Einheit zum Entscheid an sich zu ziehen (vgl. Art. 41 Abs. 1 des Regierungs- und Verwaltungsorganisationsgesetzes vom 21. März 1997 [RVOG], SR 172.010; Pierre Tschannen/Ulrich Zimmerli/Markus Müller, Allgemeines Verwaltungsrecht, 3. Aufl., Bern 2009, § 6 Rz. 7). Dass dem Beschwerdeführer durch diese Evokation eine Rechtsmittelinstanz verloren ging, wie er geltend macht, trifft nicht zu. Wie aus dem E-Mail des Kontrollamts vom 30. März 2012 hervorgeht, hatte die Vorinstanz im konkreten Fall bereits eine verwaltungsinterne Weisung zum konkreten Fall erlassen. Auch wenn das Kontrollamt verfügt hätte, wäre die Vorinstanz daher als Rechtsmittelinstanz nicht mehr zur Verfügung gestanden (vgl. Art. 47 Abs. 2 VwVG). Die Rüge des Beschwerdeführers, die Vorinstanz sei funktionell unzuständig gewesen, erweist sich somit als unbegründet.</w:t>
      </w:r>
    </w:p>
    <w:p>
      <w:r>
        <w:rPr>
          <w:b/>
        </w:rPr>
        <w:t>E. 3.3</w:t>
      </w:r>
    </w:p>
    <w:p>
      <w:r>
        <w:t>Im Übrigen könnte der Beschwerdeführer mit dieser Rüge ohnehin nicht gehört werden, da er selbst vorgängig von der Vorinstanz - und nicht vom Kontrollamt - den Erlass einer beschwerdefähigen Verfügung verlangt hat. Seine Rüge, die Evokation durch Vorinstanz sei unzulässig gewesen, verstösst daher gegen den Grundsatz von Treu und Glauben (vgl. Art. 5 Abs. 3 der Bundesverfassung der Schweizerischen Eidgenossenschaft vom 18. April 1999 [BV, SR 101]).</w:t>
      </w:r>
    </w:p>
    <w:p>
      <w:r>
        <w:rPr>
          <w:b/>
        </w:rPr>
        <w:t>E. 4</w:t>
      </w:r>
    </w:p>
    <w:p>
      <w:r>
        <w:t>Der Beschwerdeführer rügt weiter, die Vorinstanz habe sich mit seinen Vorbringen nicht genügend auseinandergesetzt, sondern sich auf Ausführungen allgemeiner Art beschränkt. Damit habe sie ihre Begründungspflicht verletzt.</w:t>
      </w:r>
    </w:p>
    <w:p>
      <w:r>
        <w:rPr>
          <w:b/>
        </w:rPr>
        <w:t>E. 4.1</w:t>
      </w:r>
    </w:p>
    <w:p>
      <w:r>
        <w:t>Aus der Garantie des rechtlichen Gehörs (vgl. Art. 29 Abs. 2 BV) und Art. 29 ff. VwVG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Aufgrund des allgemeinen verfassungsrechtlichen Anspruchs lassen sich allerdings keine generellen Regeln aufstellen, denen eine Begründung zu genügen hat. Die Anforderungen sind vielmehr unter Berücksichtigung aller Umstände des Einzelfalles sowie der Interessen der Betroffenen im Blick auf die in der Rechtsprechung des Bundesgerichts entwickelten Grundsätze festzulegen.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(BGE 134 I 88 E. 4.1 mit Hinweisen; vgl. Bernhard Waldmann/Jörg Bickel, in: Waldmann/Weissenberger [Hrsg.], Praxiskommentar VwVG, Zürich/Basel/Genf 2009, Art. 29 und 32, Patrick Sutter, in: Auer/Müller/Schindler [Hrsg.], VwVG, Kommentar zum Bundesgesetz über das Verwaltungsverfahren, Zürich/St. Gallen 2008, Art. 32 N 2). Nach der Rechtsprechung des Bundesgerichts und des Bundesverwaltungsgerichts kann eine allfällige Verletzung der Begründungspflicht im Rechtsmittelverfahren grundsätzlich geheilt werden, wenn und soweit die Rückweisung zu einem formalistischen Leerlauf und damit zu unnötigen Verzögerungen führen würde, die mit dem Interesse der betroffenen Partei an einer beförderlichen Beurteilung der Sache nicht zu vereinbaren wären (BGE 133 I 201 E. 2.2 mit Hinweisen). Eine derartige Heilung setzt voraus, dass die Vorinstanz anlässlich der Anfechtung ihres Entscheides eine genügende Begründung nachliefert (typischerweise in der Vernehmlassung) und der Beschwerdeführer im Rahmen eines zweiten Schriftenwechsels die Möglichkeit erhält, sich dazu zu äussern (Lorenz Kneubühler, in: Auer/Müller/Schindler [Hrsg.], Kommentar zum Verwaltungsverfahrensgesetz, Zürich 2008, Rz. 21 zu Art. 35).</w:t>
      </w:r>
    </w:p>
    <w:p>
      <w:r>
        <w:rPr>
          <w:b/>
        </w:rPr>
        <w:t>E. 4.2</w:t>
      </w:r>
    </w:p>
    <w:p>
      <w:r>
        <w:t>Die angefochtene Verfügung enthält eine Begründung in welcher die Vorinstanz den relevanten Sachverhalt kurz skizziert und insbesondere die Beschaffenheit der Rahmen und die vom Beschwerdeführer verwendete Bezeichnung beschreibt. Sie legt dar, dass die Bezeichnungen "silber", argenté" und "argento" die Anforderungen von Art. 6 EMKG nicht erfüllten, da sie nur für massive Edelmetallwaren bzw. versilberte Waren verwendet werden dürften und deshalb vorliegend zur Täuschung geeignet seien. Der Preis der Rahmen sei für die Beurteilung nicht relevant, da die Täuschung des Konsumenten aufgrund der unzulässigen Angaben gegeben sei. Es sei erlaubt, die beanstandeten Ausdrücke durch "silberfarbig", "Farbe Silber", "couleur argent" oder "color argento" zu ersetzen. Die Vorinstanz hat damit - wenn auch kurz - die Überlegungen dargelegt, auf welche sie ihren Entscheid stützt. Die Begründung umfasst den relevanten Sachverhalt, zumindest die wichtigste einschlägige Rechtsnorm (Art. 6 EMKG) und materielle Erwägungen, welche die Überlegungen der Vorinstanz für den Beschwerdeführer zumindest in groben Zügen nachvollziehbar machen. Die angefochtene Verfügung enthält deshalb alle Elemente, die für eine sachgerechte Anfechtung erforderlich sind. Entgegen der Behauptung des Beschwerdeführers ist die Vorinstanz auch auf seine Vorbringen eingegangen. Der Beschwerdeführer hatte in seinem Schreiben vom 12. April 2012 lediglich vorgebracht, er sehe in der Bezeichnung "silber" keine Täuschung des Konsumenten, und in Anbetracht des Preises der Rahmen sei ersichtlich, dass es sich nicht um Silber oder um ein versilbertes Produkt handeln könne. Auf diese Vorbringen ging die Vorinstanz in der Begründung der angefochtenen Verfügung ein.</w:t>
      </w:r>
    </w:p>
    <w:p>
      <w:r>
        <w:rPr>
          <w:b/>
        </w:rPr>
        <w:t>E. 4.3</w:t>
      </w:r>
    </w:p>
    <w:p>
      <w:r>
        <w:t>Die Rüge, die Vorinstanz sei ihrer Begründungspflicht nicht nachgekommen, erweist sich daher als unbegründet.</w:t>
      </w:r>
    </w:p>
    <w:p>
      <w:r>
        <w:rPr>
          <w:b/>
        </w:rPr>
        <w:t>E. 5</w:t>
      </w:r>
    </w:p>
    <w:p>
      <w:r>
        <w:t>In materieller Hinsicht macht der Beschwerdeführer geltend, es bestehe nicht die Gefahr, dass die in Frage stehenden Fotorahmen "[...]" mit Edelmetall-, Mehrmetall-, Plaqué, oder Ersatzwaren verwechselt werden könnten. Der Begriff der Verwechslungsgefahr werde im Edelmetallkontrollgesetz nicht definiert; im Sinne der Einheit der Rechtsordnung sei für die Interpretation dieses Begriffs die Lehre und Rechtsprechung zur Verwechslungsgefahr im Wettbewerbsrecht und Markenrecht heranzuziehen. Nach der bundesgerichtlichen Praxis zur lauterkeitsrechtlichen Gefahr der Verwechslung sei auf einen durchschnittlich aufmerksamen Käufer abzustellen und die tatsächliche Warenpräsentation in gesamter Würdigung aller Umstände zu berücksichtigen. In Anbetracht der Bezeichnung der Rahmen, des Verkaufspreises, des Sortiments des Beschwerdeführers, der Verpackung und der Vermarktung der Waren am Verkaufsort könne ein durchschnittlicher Konsument aber nicht davon ausgehen, dass die Bilderrahmen Edelmetalle in irgendeiner Form enthielten.</w:t>
      </w:r>
    </w:p>
    <w:p>
      <w:r>
        <w:rPr>
          <w:b/>
        </w:rPr>
        <w:t>E. 5.1</w:t>
      </w:r>
    </w:p>
    <w:p>
      <w:r>
        <w:t>Jede zur Täuschung geeignete Bezeichnung auf Edelmetall-, Mehrmetall-, Plaqué- oder Ersatzwaren und auf Gegenständen, die mit solchen verwechselt werden können, ist untersagt (Art. 6 S. 2 EMKG). Im Ausland hergestellte, dem Edelmetallkontrollgesetz unterstellte Waren dürfen nur in den Inlandverkehr gebracht werden, wenn sie den Vorschriften dieses Gesetzes entsprechen (Art. 20 Abs. 1 S. 1 EMKG). Entspricht die Ware den gesetzlichen Vorschriften nicht, ohne dass eine strafbare Handlung vorliegt, so wird sie über die Grenze zurückgewiesen (Art. 20 Abs. 3 S. 3 EMKG).</w:t>
      </w:r>
    </w:p>
    <w:p>
      <w:r>
        <w:rPr>
          <w:b/>
        </w:rPr>
        <w:t>E. 5.2</w:t>
      </w:r>
    </w:p>
    <w:p>
      <w:r>
        <w:t>Der Auffassung des Beschwerdeführers, für die Frage nach der Verwechslungsgefahr sei auf die Interpretation dieses Begriffs im Wettbewerbs- und Markenrecht und damit auf die Anforderungen, die an einen durchschnittlich aufmerksamen Käufer gestellt werden dürfen, abzustellen, kann angesichts der bundesgerichtlichen Rechtsprechung zur Anwendung des Edelmetallkontrollgesetzes nicht gefolgt werden. In BGE 106 IV 305 führte das Bundesgericht aus, nach dem klaren Willen des Gesetzgebers, wie er sich aus der Botschaft ergebe, sei es gerade der unerfahrene Käufer, den das Edelmetallkontrollgesetz schützen wolle: "dont chacun sait que la naïveté et l'aveuglement n'ont guère de limite dans ce domaine" (vgl. BGE 106 IV 305 E. 2.d). In einem späteren Entscheid befand das Bundesgericht, dass diese Formulierung etwas zu weit gehe, dass aber jedenfalls nicht der aufmerksame Konsument massgeblich sein könne. Die Eignung zur Täuschung im Sinne von Art. 44 EMKG könne auch dann gegeben sein, wenn ein Irrtum schon bei relativ geringer Aufmerksamkeit vermeidbar sei (vgl. BGE 111 IV 180 E. 4.c)</w:t>
      </w:r>
    </w:p>
    <w:p>
      <w:r>
        <w:rPr>
          <w:b/>
        </w:rPr>
        <w:t>E. 5.3</w:t>
      </w:r>
    </w:p>
    <w:p>
      <w:r>
        <w:t>In sachverhaltlicher Hinsicht ist unbestritten, dass es sich bei den in Frage stehenden Waren um Bilderrahmen mit einem silberfarbenen Metallrahmen handelt, welche vom Aussehen her mit silbernen oder versilberten Bilderrahmen verwechselbar sind, jedenfalls durch unerfahrene Käufer. Unbestritten ist ferner, dass die Waren kein Silber enthalten.</w:t>
      </w:r>
    </w:p>
    <w:p>
      <w:r>
        <w:rPr>
          <w:b/>
        </w:rPr>
        <w:t>E. 5.4</w:t>
      </w:r>
    </w:p>
    <w:p>
      <w:r>
        <w:t>Der Beschwerdeführer macht geltend, es sei bereits aufgrund des Preises der Rahmen klar ersichtlich, dass diese nicht aus Silber bestünden. Dieser Auffassung kann nicht gefolgt werden. Zwar kann der Preis nicht als völlig irrelevant betrachtet werden, wie dies die Vorinstanz vertritt, und es erscheint in der Tat als unwahrscheinlich, dass ein Konsument, auch wenn er eher unerfahren ist, trotz des verhältnismässig geringen Preises von Fr. 17.90 glauben könnte, es handle sich um einen massiven Silberrahmen. Indessen bezieht sich das Verbot täuschender Bezeichnungen gemäss Art. 6 Abs. 2 EMKG nicht allein auf Bezeichnungen, die zu einer Verwechslung mit Edelmetallwaren führen könnten, sondern ebenso auf Warenbezeichnungen, welche die Gefahr einer Verwechslung mit Mehrmetall- Plaqué- und Ersatzwaren beinhalten. Die Diskrepanz zu einem realistischen Preis für eine Mehrmetallware mit einem geringen Silberanteil oder für einen Aluminiumrahmen mit einer sehr dünnen Versilberung ist aber nicht so gross, dass sie einen unerfahrenen Käufer mit Sicherheit vor einer allfälligen Täuschung durch eine irreführende Bezeichnung schützen würde.</w:t>
      </w:r>
    </w:p>
    <w:p>
      <w:r>
        <w:rPr>
          <w:b/>
        </w:rPr>
        <w:t>E. 5.5</w:t>
      </w:r>
    </w:p>
    <w:p>
      <w:r>
        <w:t>Zu prüfen ist daher, ob es sich bei der vom Beschwerdeführer gewählten Beschriftung "Bilderrahmen, silber, Aluminium, reflexfreies Glas" bzw. "Cadre à photos, argenté, aluminium, verre antireflets" und "Cornice, argento, alluminio, vetro antireflesso" um Bezeichnungen handelt, die geeignet sind, einen unerfahrenen Konsumenten zur unzutreffenden Annahme zu verleiten, dass es sich um eine Edelmetall-, Mehrmetall-, Plaqué- oder Ersatzware handle.</w:t>
      </w:r>
    </w:p>
    <w:p>
      <w:r>
        <w:rPr>
          <w:b/>
        </w:rPr>
        <w:t>E. 5.5.1</w:t>
      </w:r>
    </w:p>
    <w:p>
      <w:r>
        <w:t>Die deutsche Bezeichnung "silber" ist, rein sprachlich, nicht eindeutig, da es diesen Begriff an sich gar nicht gibt. Die deutsche Sprache kennt die Materialbezeichnungen "Silber", "silbern" und "versilbert" einerseits sowie die Farbbezeichnung "silberfarben" andererseits. Ferner gibt es eine ganze Reihe von Begriffen, welche mit dem Wortteil "silber" zusammengesetzt sind, wobei diesem Wortteil mehrheitlich - aber nicht ausschliesslich - der Charakter einer Farbbezeichnung zukommt (vgl. z.B. Wahrig Deutsches Wörterbuch, 9. Aufl., Gütersloh/München 2011, Stichwörter "Silber", "silberfarben", "silbergrau", "silbern", "silberweiss" und "versilbern", S. 1358 und 1586). Im vorliegenden Fall steht das Wort "silber" nicht allein, sondern neben dem Begriff "Aluminium", der mit einem grossen Anfangsbuchstaben geschrieben ist und damit eindeutig eine Materialbezeichnung darstellt. Dieser Kontrast zwischen Gross- und Kleinschreibung deutet daher eher darauf hin, dass mit "silber" nicht ebenfalls eine Materialbezeichnung gemeint ist. Ob die Kleinschreibung und dieser Kontext ausreicht, um auch einen unerfahrenen Konsumenten vor der unzutreffenden Annahme zu schützen, dass es sich um eine silberhaltige Mehrmetall- oder Plaquéware handle, kann im vorliegenden Fall indessen offen gelassen werden, da die der Beschwerdeführer die Etiketten ohnehin aufgrund der Bezeichnungen in den anderen Sprachen ändern muss, wie noch darzulegen ist.</w:t>
      </w:r>
    </w:p>
    <w:p>
      <w:r>
        <w:rPr>
          <w:b/>
        </w:rPr>
        <w:t>E. 5.5.2</w:t>
      </w:r>
    </w:p>
    <w:p>
      <w:r>
        <w:t>Die französische Bezeichnung "argenté" ist zwar ebenfalls nicht eindeutig. Allerdings hat das Wort mehrere Bedeutungsvarianten, darunter auch die Bedeutung "versilbert" (vgl. etwa Le Petit Robert, dictionnaire alphabétique et analogique de la langue française, Paris 2012, Stichwort "argenté, ée", S. 135). "Argenté" ist denn auch die Bezeichnung, die in der französischen Fassung des Gesetzes aufgeführt ist als Bezeichnung, die ausschliesslich für Plaquéwaren und für versilberte Ersatzwaren zugelassen ist (vgl. Art. 8 Abs. 1 und 3 EMKG). Die Wortkombination "argenté, aluminium" relativiert diese Bedeutungsmöglichkeit nicht, sondern impliziert lediglich, dass es sich um einen versilberten Aluminiumrahmen handelt.</w:t>
      </w:r>
    </w:p>
    <w:p>
      <w:r>
        <w:rPr>
          <w:b/>
        </w:rPr>
        <w:t>E. 5.5.3</w:t>
      </w:r>
    </w:p>
    <w:p>
      <w:r>
        <w:t>Die italienische Bezeichnung "argento" ist sprachlich eindeutig und entspricht der Materialbezeichnung "Silber" (vgl. Nicolo Zingarelli, Vocabulario della lingua italiana, 12. Aufl., Bologna 2009, Stichwort "argento", S. 173). In der Kombination mit der Materialbezeichnung "alluminio" entsteht daher der Eindruck, dass es sich um eine Mehrmetallware handelt.</w:t>
      </w:r>
    </w:p>
    <w:p>
      <w:r>
        <w:rPr>
          <w:b/>
        </w:rPr>
        <w:t>E. 5.5.4</w:t>
      </w:r>
    </w:p>
    <w:p>
      <w:r>
        <w:t>Zumindest die französische und die italienische Bezeichnung auf den Etiketten der in Frage stehenden Waren sind somit zur Täuschung geeignet im Sinne von Art. 6 EMKG. Es ist daher nicht zu beanstanden, wenn die Vorinstanz die Einfuhr dieser Waren untersagt und den Beschwerdeführer verpflichtet hat, die Angaben auf diesen Waren sowie auf allen mit der gleichen Bezeichnung bereits im Lager und Verkauf befindlichen Waren den Bestimmungen des Edelmetallkontrollgesetzes anzupassen. Wie es sich bezüglich der deutschen Bezeichnung verhält, kann im vorliegenden Verfahren offen gelassen werden, da die Etiketten dreisprachig sind und der Beschwerdeführer sie bereits aufgrund der unzulässigen Bezeichnungen in französischer und italienischer Sprache ändern muss. Ein Interesse des Beschwerdeführers, anlässlich dieser Änderung an der im Streit stehenden deutschen Bezeichnung festzuhalten, anstatt auch gleich diese in einer Art zu ändern, die jegliche Täuschungsmöglichkeit zweifelsfrei ausschliesst, ist nicht ersichtlich.</w:t>
      </w:r>
    </w:p>
    <w:p>
      <w:r>
        <w:rPr>
          <w:b/>
        </w:rPr>
        <w:t>E. 6</w:t>
      </w:r>
    </w:p>
    <w:p>
      <w:r>
        <w:t>Der Beschwerdeführer hat die Auferlegung der Gebühren durch die Vorinstanz zwar ebenfalls angefochten, aber nicht substantiiert gerügt, weshalb diese unzulässig gewesen wäre.</w:t>
      </w:r>
    </w:p>
    <w:p>
      <w:r>
        <w:rPr>
          <w:b/>
        </w:rPr>
        <w:t>E. 7</w:t>
      </w:r>
    </w:p>
    <w:p>
      <w:r>
        <w:t>Die Beschwerde erweist sich somit insgesamt als unbegründet und ist abzuweisen.</w:t>
      </w:r>
    </w:p>
    <w:p>
      <w:r>
        <w:rPr>
          <w:b/>
        </w:rPr>
        <w:t>E. 8</w:t>
      </w:r>
    </w:p>
    <w:p>
      <w:r>
        <w:t>Bei diesem Ausgang des Verfahrens sind dem unterliegenden Beschwerdeführer die Verfahrenskosten aufzuerlegen (Art. 63 Abs. 1 VwVG). Diese sind mit dem von ihm geleisteten Kostenvorschuss zu verrechnen.</w:t>
      </w:r>
    </w:p>
    <w:p>
      <w:r>
        <w:rPr>
          <w:b/>
        </w:rPr>
        <w:t>E. 9</w:t>
      </w:r>
    </w:p>
    <w:p>
      <w:r>
        <w:t>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