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B-264/2017 vom 5. Juni 2018</w:t>
      </w:r>
    </w:p>
    <w:p>
      <w:r>
        <w:t>Bundesverwaltungsgericht, 2018-06-05, DE</w:t>
      </w:r>
    </w:p>
    <w:p>
      <w:r>
        <w:rPr>
          <w:b/>
        </w:rPr>
        <w:t xml:space="preserve">Quelle: </w:t>
      </w:r>
      <w:r>
        <w:t>https://mcp.opencaselaw.ch/entscheid/bvger_B-264_2017</w:t>
      </w:r>
    </w:p>
    <w:p>
      <w:r>
        <w:t>FR: TAF B-264/2017 du 5 juin 2018</w:t>
      </w:r>
    </w:p>
    <w:p>
      <w:r>
        <w:t>IT: TAF B-264/2017 del 5 giugno 2018</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fristgerecht bezahlt (Art. 63 Abs. 4 VwVG) und die Beschwerde frist- und formgerecht eingereicht (Art. 50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BGE 119 II 473 E. 2d "Radion"; Städeli/Brauchbar Birkhäuser, a.a.O., Art. 3 N. 41). Massgebend ist einzig die Eintragung, wie sie dem Register entnommen werden kann (Urteile des BVGer B-5325/2007 vom 12. November 2007 E. 3 "Adwista/ad-vista [fig.]" mit Hinweisen und B-7475/2006 vom 20. Juni 2007 E. 5 "Converse All Stars [fig.]/Army tex [fig.]"). Bei Bildmarken, die einen Sinngehalt aufweisen ("begrifflichen Inhalt", "Sinnwirkung"), können für den Gesamteindruck wie auch für die Kennzeichnungskraft einerseits die äussere Gestaltung und andererseits der Sinngehalt prägend sein. Auf beiden Ebenen können somit Übereinstimmungen mit kollidierenden Marken das Bestehen einer Verwechslungsgefahr begünstigen und - umgekehrt - Unterschiede einer solchen entgegenwirken. Präsentiert sich die angefochtene Marke nur als Variation, Bearbeitung oder Modernisierung der älteren, anstatt dem Betrachter eine eigenständige Bildwirkung zu vermitteln, ist die Verwechslungsgefahr in der Regel zu bejahen (Urteile des BVGer B-3812/2012 vom 25. November 2014 E. 7.2.4 "Winston Blue [fig.] /FX Blue Style Effects [fig.]"; B-4841/2007 vom 28. August 2008 E. 9.3 "Herz [fig.]/Herz [fig.]"; B-4536/2007 vom 27. November 2007 E. 7 "Salamander [fig.]/Gecko [fig.]"; Gallus Joller, a.a.O., Art. 3 N. 209).</w:t>
      </w:r>
    </w:p>
    <w:p>
      <w:r>
        <w:rPr>
          <w:b/>
        </w:rPr>
        <w:t>E. 2.3</w:t>
      </w:r>
    </w:p>
    <w:p>
      <w:r>
        <w:t>Ob eine Verwechslungsgefahr besteht, hängt unter anderem vom Schutzumfang der Widerspruchsmarke ab (Urteil des BVGer B-7017/2008 vom 11. Februar 2010 E. 2.4 "Plus/PlusPlus [fig.]" mit Hinweisen).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hingegen sind Marken, welche das Ergebnis einer schöpferischen Leistung oder langer Aufbauarbeit sind (BGE 122 III 382 E. 2a "Kamillosan/Kamillon, Kamillan" mit Hinweisen; Urteil des BVGer B-7475/2006 vom 20. Juni 2007 E. 7 "Converse All Stars [fig.]/ Army tex [fig.]"; Eugen Marbach, in: von Büren/David [Hrsg.], Schweizerisches Immaterialgüter- und Wettbewerbsrecht, Bd. III/1, Markenrecht, 2. Aufl. 2009, N. 979 mit Hinweisen).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 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BGE 127 III 160 E. 2a "Securitas"; BGE 128 III 96 E. 2a "Orfina/Orfina"; Entscheid des BGer 4C.171/2001 vom 5. Oktober 2001 E. 1b "Stoxx/StockX [fig.]").</w:t>
      </w:r>
    </w:p>
    <w:p>
      <w:r>
        <w:rPr>
          <w:b/>
        </w:rPr>
        <w:t>E. 3</w:t>
      </w:r>
    </w:p>
    <w:p>
      <w:r>
        <w:t>Die Verwechslungsgefahr im Sinne von Art. 3 Abs. 1 Bst. c MSchG setzt voraus, dass die Marken für gleiche oder gleichartige Waren oder Dienstleistungen bestimmt sind (1. Satz, 2. Teil). Die Parteien gehen übereinstimmend davon aus, dass die beanspruchten Waren der Klassen 18 und 25 der zu vergleichenden Marken gleich bzw. gleichartig sind. Das trifft zu, weshalb sich weitere Ausführungen dazu erübrigen. Die unbestrittene Gleichartigkeit der Waren legt in Bezug auf den Zeichenabstand einen besonders strengen Massstab nahe (BGE 122 III 382 E. 3a "Kamillosan/Kamillon, Kamillan").</w:t>
      </w:r>
    </w:p>
    <w:p>
      <w:r>
        <w:rPr>
          <w:b/>
        </w:rPr>
        <w:t>E. 4</w:t>
      </w:r>
    </w:p>
    <w:p>
      <w:r>
        <w:t>Für die im Widerspruch stehenden Waren sind die massgeblichen Verkehrskreise zu bestimmen (Eugen Marbach, Die Verkehrskreise im Markenrecht, in: sic! 1/2007, S. 1, 6 f. und 11). Ausgangspunkt für die Bestimmung der Verkehrskreise ist das Warenverzeichnis der älteren Marke (Gallus Joller, a.a.O., Art. 3 N. 51). Das Bundesverwaltungsgericht geht beim Erwerb von Kleidern, wozu im weiteren Sinne auch Kopfbedeckungen gehören, und Schuhen (Klasse 25) nicht von einem Erwerb von Massenartikeln aus. Die entsprechenden Waren gehören nicht zum täglichen Konsumbedarf. Es stuft die Aufmerksamkeit der Erwerber daher als zumindest leicht erhöht ein, da Kleider und Schuhe vor dem Kauf meist anprobiert werden (vgl. Urteile des BVGer B-4471/2012 vom 29. Oktober 2013 E. 4 "Alaïa/Lalla Alia [fig.]/Lalla Alia", B-6573/2016 vom 29. Juni 2017 E. 5 "Apple [fig.]/Adamis Group [fig.]" sowie B-7524/2016 vom 23. November 2017 E. 5 "DIADORA/Dador Dry Waterwear [fig.]"). Auch das Bundesgericht geht in BGE 121 III 377 E. 3d "Boss/Boks" von einer "grösseren Aufmerksamkeit" der Erwerber beim Kauf von Kleidung aus. Taschen (Klasse 18) werden vom Erwerber ebenfalls mit einer gewissen Regelmässigkeit nachgefragt, sind jedoch keine Massenprodukte, weshalb auch diese mit leicht erhöhter Aufmerksamkeit erworben werden (vgl. Urteil des BVGer B-3050/2011 vom 4. September 2012 E. 6 "SEVEN [fig.]/ROOM SEVEN").</w:t>
      </w:r>
    </w:p>
    <w:p>
      <w:r>
        <w:rPr>
          <w:b/>
        </w:rPr>
        <w:t>E. 5.1</w:t>
      </w:r>
    </w:p>
    <w:p>
      <w:r>
        <w:t>Die Verwechslungsgefahr im Sinne von Art. 3 Abs. 1 Bst. c MSchG setzt voraus, dass die Zeichen ähnlich sind (1. Satz, 1. Teil).</w:t>
      </w:r>
    </w:p>
    <w:p>
      <w:r>
        <w:rPr>
          <w:b/>
        </w:rPr>
        <w:t>E. 5.2</w:t>
      </w:r>
    </w:p>
    <w:p>
      <w:r>
        <w:t>Die Vorinstanz führt in der angefochtenen Verfügung aus, die beiden Zeichen würden von den Abnehmern als stilisierter Pfeil wahrgenommen. Beide Figuren würden auf zwei spitzen Winkeln stehen und oben einen etwa 60 Grad aufweisenden und gegen oben zeigenden Winkel aufweisen. Die Unterschiede in der Symmetrie sowie die Tatsache, dass die Figur der Beschwerdegegnerin nicht ausgefüllt sei, könnten nicht bewirken, dass die angefochtene Marke als eigenständige Gestaltung zu qualifizieren sei. Vielmehr übernehme die angefochtene Marke das Widerspruchszeichen in seinen markanten Bestandteilen. Es sei nicht wahrscheinlich, dass das Publikum in den Vergleichszeichen einen unterschiedlichen Sinngehalt zu erkennen vermöge. Insgesamt bestehe Ähnlichkeit sowohl im Erscheinungsbild als auch im Sinngehalt. Die Beschwerdeführerin bringt vor, die beiden Marken würden je eine offensichtlich unterschiedliche Kombination von einfachen geometrischen Figuren verwenden. Unterschiede zwischen gleichschenkligen und nicht gleichschenkligen Formen würden dem Publikum immer in Erinnerung bleiben. Entgegen der Ansicht der Vorinstanz werde die Widerspruchsmarke nicht als Pfeil oder stilisierter Pfeil wahrgenommen. Die Marke der Beschwerdeführerin verwende weder dasselbe Motiv, noch übernehme sie die markanten Bestandteile von der Widerspruchsmarke. Der Buchstabe "A" sei bei der Widerspruchsmarke nicht zu erkennen, jedoch sei die Zahl "7" unmittelbar erkennbar. Nach der Beschwerdegegnerin handle es sich um ein Flammensymbol. In der angefochtenen Marke erkenne der Betrachter eine Pfeilspitze. Eine solche sei in der Widerspruchsmarke nicht zu erkennen. Die angefochtene Marke habe nicht markante Bestandteile übernommen. Sowohl der Sinngehalt als auch die graphische Gestaltung seien somit deutlich unterschiedlich. Die Beschwerdegegnerin führt zur Ähnlichkeit der beiden Zeichen aus, sie teile die Meinung der Vorinstanz, wonach die angefochtene Marke das Widerspruchzeichen in seinen markanten Bestandteilen übernehme (pfeilförmig, Spitze nach oben, jeweils im 60 Grad-Winkel abgeschrägte Enden der zwei Schenkel). Aufgrund des Gesamteindrucks seien sich die Zeichen sehr ähnlich. Von einer Diskussion über einen allfälligen kompensatorischen Effekt eines unterschiedlichen Sinngehaltes könne daher abgesehen werden. Ausserdem werde bestritten, dass der Betrachter in der angefochtenen Marke eine Pfeilspitze sehe. Es sei absurd, dass das Publikum in der Widerspruchsmarke die Zahl "7" erkenne.</w:t>
      </w:r>
    </w:p>
    <w:p>
      <w:r>
        <w:rPr>
          <w:b/>
        </w:rPr>
        <w:t>E. 5.3</w:t>
      </w:r>
    </w:p>
    <w:p>
      <w:r>
        <w:t>Die Ähnlichkeit der im Widerspruch stehenden Zeichen wird aufgrund des Gesamteindrucks beurteilt. Dieser bestimmt sich bei reinen Bildmarken einerseits nach dem Erscheinungsbild und andererseits nach einem allfälligen Sinngehalt. Zu beachten ist, dass das Publikum die beiden Marken in der Regel nicht gleichzeitig vor sich hat, weshalb auf das Erinnerungsbild abzustellen ist. Diesem Erinnerungsbild haftet eine gewisse Verschwommenheit an. Es wird durch die kennzeichnungskräftigen Zeichenelemente geprägt (Urteil des BVGer B-7514/2006 vom 31. Juli 2007 E. 5 "Quadrat [fig.]/Quadrat [fig.]" m.w.H.).</w:t>
      </w:r>
    </w:p>
    <w:p>
      <w:r>
        <w:rPr>
          <w:b/>
        </w:rPr>
        <w:t>E. 5.4</w:t>
      </w:r>
    </w:p>
    <w:p>
      <w:r>
        <w:t>Die Widerspruchsmarke ist eine reine Bildmarke. Sie besteht aus einer Art Winkel, läuft gegen oben spitz zu und ist gegen unten zu zirka 60 Grad geöffnet. Die beiden Schenkel des Winkels sind nicht gleich lang und auch nicht gleich dick und stehen unten auf einem spitzen Winkel. Das Zeichen ist umrahmt, jedoch nicht ausgefüllt. Die Umrahmungslinie ist nicht überall gleich dick, sodass sich ein leichter Schattierungs- beziehungsweise Perspektiveffekt ergibt. Bei der angefochtenen Marke handelt es sich ebenfalls um eine reine Bildmarke. Sie besteht aus einem nach oben spitz zulaufenden Winkel, welcher nach unten zirka 60 Grad offen ist. Das Zeichen ist gleichschenklig und ausgefüllt und die beiden Schenkel stehen jeweils auf einem spitzen Winkel.</w:t>
      </w:r>
    </w:p>
    <w:p>
      <w:r>
        <w:rPr>
          <w:b/>
        </w:rPr>
        <w:t>E. 5.5</w:t>
      </w:r>
    </w:p>
    <w:p>
      <w:r>
        <w:t>Wie die Vorinstanz im angefochtenen Entscheid zu Recht ausführt, übernimmt die angefochtene Marke das Widerspruchszeichen in seinen markanten Bestandteilen. Beide Zeichen bestehen aus einem gleich angeordneten Winkel, welcher mit der Spitze nach oben zeigt und gegen unten etwa gleich weit geöffnet ist. Ebenfalls fällt auf, dass die Schenkel beider Zeichen unten ebenfalls auf einem spitzen, etwa gleich grossen Winkel stehen. Unterschiede finden sich in der Länge der Schenkel des Winkels und in der Füllung der Innenfläche. Figurativ unterscheiden sich die beiden Marken damit nur unwesentlich, zumal sich geringfügige Unterschiede in der Erinnerung verwischen. Die massgeblichen Verkehrskreise werden sich bei den beiden Zeichen an das Winkelsymbol erinnern. Verneint werden muss, dass die beiden Zeichen über abweichende Sinngehalte verfügen. So ist aus der Widerspruchsmarke weder die leicht gedrehte Zahl "7" noch ein stilisiertes "A" oder ein Flammensymbol erkennbar. Obwohl die beiden Schenkel des Winkels nicht gleich lang und auch nicht gleich dick sind, erinnert das Zeichen am ehesten an die Spitze eines Pfeils. Gleiches gilt für die angefochtene Marke, bei welcher die Pfeilspitze noch besser erkennbar ist. Wahrscheinlicher ist jedoch, dass die entsprechenden Verkehrskreise in den beiden Zeichen einfach abstrakte Formen erkennen, ohne ihnen einen Sinngehalt zuzuordnen. Von einem unterschiedlichen Sinngehalt kann jedenfalls nicht ausgegangen werden. Aufgrund der gleichartigen graphischen Gestaltung der beiden Zeichen und des fehlenden Unterschieds im Sinngehalt ist - trotz kleinerer Abweichungen in den gestalterischen Details - insgesamt von Zeichenähnlichkeit auszugehen.</w:t>
      </w:r>
    </w:p>
    <w:p>
      <w:r>
        <w:rPr>
          <w:b/>
        </w:rPr>
        <w:t>E. 6.1</w:t>
      </w:r>
    </w:p>
    <w:p>
      <w:r>
        <w:t>Die Verwechslungsgefahr zwischen der Widerspruchsmarke und der angefochtenen Marke im Sinne von Art. 3 Abs. 1 Bst. c MSchG ist vor dem Hintergrund der gesamten Umstände zu beurteilen (2. Satz).</w:t>
      </w:r>
    </w:p>
    <w:p>
      <w:r>
        <w:rPr>
          <w:b/>
        </w:rPr>
        <w:t>E. 6.2</w:t>
      </w:r>
    </w:p>
    <w:p>
      <w:r>
        <w:t>Die Vorinstanz führt zur Verwechselbarkeit aus, die Widerspruchsmarke sei durchschnittlich kennzeichnungskräftig. Sie verfüge über einen normalen Schutzumfang. Unter Berücksichtigung des Schutzumfanges, der ausgeprägten Zeichenähnlichkeit und der Warengleichheit sei trotz der leicht erhöhten Aufmerksamkeit der Abnehmer von einer Verwechslungsgefahr auszugehen. Die Beschwerdeführerin wendet ein, dass der Schutzumfang der Widerspruchsmarke schwach sei, da sie nur geometrische Grundformen verwende und damit nur kennzeichnungsschwache Elemente kombiniere. Banale geometrische Grundformen seien zur Kennzeichnung von Waren der Klassen 18 und 25 weit verbreitet und branchenüblich. Bereits kleinste Abweichungen würden ausreichen, um eine eigenständige, von der Widerspruchmarke abweichende, graphische Gestaltung zu kreieren und die Verwechselbarkeit von vornhinein auszuschliessen. Die angefochtene Marke unterscheide sich eindeutig und rechtsgenüglich von der Widerspruchsmarke. Diese Unterschiede würden in der Erinnerung des Publikums nicht einfach ausgeblendet, weshalb keine Verwechslungsgefahr bestehe. Die Beschwerdegegnerin bringt vor, die Widerspruchsmarke sei normal unterscheidungskräftig. Aufgrund der Warenidentität und der klaren Zeichenähnlichkeit führe der Gesamteindruck des Publikums zur Verwechslungsgefahr.</w:t>
      </w:r>
    </w:p>
    <w:p>
      <w:r>
        <w:rPr>
          <w:b/>
        </w:rPr>
        <w:t>E. 6.3</w:t>
      </w:r>
    </w:p>
    <w:p>
      <w:r>
        <w:t>Der Schutzumfang beurteilt sich nach der Kennzeichnungskraft einer Marke. Grundsätzlich darf originär eine normale Unterscheidungskraft vermutet werden; gleichzeitig ist zu prüfen, ob besondere Umstände vorliegen, welche die Annahme einer ursprünglich geringeren oder höheren Kennzeichnungskraft rechtfertigt (Gallus Joller, a.a.O., Art. 3 N. 84 f.). Die Besonderheit der Widerspruchsmarke liegt darin, dass es sich um eine reine Bildmarke handelt, die keinen Sinngehalt aufweist und aus einem einzigen Element besteht. Das Bildelement ist banal. Das Widerspruchszeichen gestaltet den Winkel durch eine Umrahmung, die leicht abgerundet ist, einen Schattierungseffekt sowie dadurch, dass die Schenkel auf einer Spitze stehen. Sie erschöpft sich damit nicht in einer geometrischen Figur (Kreis, Quadrat, Rechteck, Dreieck), welche freihaltebedürftig ist und daher keine Kennzeichnungskraft hat (vgl. Urteil des BVGer B-7514/2006 vom 31. Juli 2007 E. 10 "Quadrat [fig.]/Quadrat [fig.]" sowie HGer Zürich, sic! 2005 S. 288 E. 2.1.2.b "aim [fig.]/scalis [fig.]"). Bei einer abstrakten Betrachtung unterscheidet sich der Winkel zwar nicht wesentlich von geometrischen Formen und Figuren, aber er gewinnt durch die ungewöhnliche graphische Gestaltung eine gewisse Kennzeichnungskraft. Keine Kennzeichnungskraft kommt elementaren Zeichen zu. Die Zeichen und Ziffern des römischen und wohl auch noch des griechischen Alphabetes müssen jedermann zur Verfügung stehen und können nicht monopolisiert werden (vgl. BGE 134 III 314 E. 2.3 "M/M-Joy"). Das vorliegende Zeichen erinnert entfernt an das Lamda als Grossbuchstaben des griechischen Alphabets (" "), doch wird es in der Ausgestaltung derart entfremdet, dass das Widerspruchszeichen nicht als einzelner Buchstabe wahrgenommen wird. Am ehesten vergleichbar ist der Winkel mit abstrakten Symbolen. So nimmt die Rechtsprechung bei Streifenmustern auf Sportschuhen eine geringe Kennzeichnungskraft an und bezeichnet sie als banales Zeichen (vgl. Urteil des BVGer B-5830/2009 vom 15. Juli 2010 E. 6.2 "fünf Streifen [fig.]/fünf Streifen [fig.]"). Das Widerspruchszeichen, das nur aus einem gestalteten Winkel besteht, ist ebenso ein banales Zeichen. Das Zeichen der Beschwerdeführerin ist in der Gestaltung etwas abstrakter und noch banaler als das Widerspruchszeichen. Für beide Zeichen ist aufgrund der besonderen Umstände daher von einer originär schwachen Kennzeichnungskraft auszugehen.</w:t>
      </w:r>
    </w:p>
    <w:p>
      <w:r>
        <w:rPr>
          <w:b/>
        </w:rPr>
        <w:t>E. 6.4</w:t>
      </w:r>
    </w:p>
    <w:p>
      <w:r>
        <w:t>Der Schutzumfang einer Marke wird durch die Sphäre des Gemeingutes begrenzt. Bei gemeinfreien Bildmotiven kommt lediglich ein Schutz für die konkrete individuelle Ausgestaltung des Bildmotives in Betracht (Gallus Joller, a.a.O., Art. 3 N. 133). Bei Bildmarken darf die Verwechslungsgefahr nicht allein aufgrund der Gefahr bejaht werden, dass die Bildzeichen aufgrund des übereinstimmenden Bildmotivs gedanklich miteinander in Verbindung gebracht werden. Eine Übereinstimmung im abstrakten Bildmotiv ist zulässig, weil eine Marke das konkrete Kennzeichen und nicht das Gestaltungsmotiv monopolisiert (vgl. Marbach, SIWR III/1, N 912 f.; Urteile des BVGer B-789/2007 vom 27. November 2007 E. 5 "Pfotenabdruck [fig.]/Tuc Tuc [fig.]" und B-6573/2016 vom 29. Juni 2017 E. 6 "Apple [fig.]/Adamis Group [fig.]"). Die Beschwerdegegnerin kann damit für das abstrakte Winkelsymbol nicht Schutz beanspruchen, sondern nur für die konkrete Gestaltung des Winkels. Das Widerspruchszeichen ist zwar ein banales Zeichen, aber in der Gestaltung nicht derart trivial, dass eine Verwechslung überhaupt nicht möglich, d.h. gänzlich ausgeschlossen ist. Durch die graphische Gestaltung hebt sich die schwache Widerspruchsmarke von der noch schwächeren angefochtenen Marke ab. Beide Zeichen kommen knapp jenseits der Grenze zu liegen, die durch die Sphäre des Gemeingutes begrenzt wird.</w:t>
      </w:r>
    </w:p>
    <w:p>
      <w:r>
        <w:rPr>
          <w:b/>
        </w:rPr>
        <w:t>E. 6.5</w:t>
      </w:r>
    </w:p>
    <w:p>
      <w:r>
        <w:t>Das Entstehen einer Verwechslungsgefahr beurteilt sich in einer Gesamtbetrachtung. Die sich gegenüberstehenden Waren sind unbestrittenermassen gleich oder gleichartig, weshalb bei der Beurteilung der Verwechslungsgefahr ein besonders strenger Massstab gilt (vgl. E. 3). Aufgrund der massgeblichen Verkehrskreise ist von einer leicht erhöhten Aufmerksamkeit des nachfragenden Publikums auszugehen (vgl. E. 4). Die Zeichen sind aufgrund der Kernelemente der beiden Bildmarken sehr ähnlich. Sie lassen sich auch nicht durch einen Sinngehalt auseinanderhalten, was den geringen Abstand verstärkt, wobei die angefochtene Marke die Kernelemente der Widerspruchsmarke übernimmt (vgl. E. 5). Da beide Marken über geringe Kennzeichnungskraft verfügen, liegt eine schwache Bildmarkenkollision vor. Die Benutzung des Bildmotivs kann die Beschwerdegegnerin nicht abwehren, aber ihre Widerspruchsmarke tritt durch die graphische Gestaltung aus der Sphäre des Gemeingutes hinaus (vgl. E. 6.4). Die Ausgestaltung der angefochtenen Marke lehnt sich an die Widerspruchsmarke derart an, dass sich nicht annehmen lässt, dass sie eine eigenständige Gestaltung des Winkelmotivs darstellt; vielmehr handelt es sich um eine blosse Bearbeitung beziehungsweise Variation der Widerspruchsmarke (vgl. Marbach, SIWR III/1, N 921). Auch ist zu berücksichtigen, dass das Bewusstsein bei der Unterscheidung von abstrakten Formen, Figuren und Symbolen weniger spezifisch vorgeht als bei Wörtern. Unscharfe Einzelheiten und Abweichungen in Nebenpunkten bleiben bei Formen weniger stark in Erinnerung als eine verkehrte Buchstabenreihenfolge oder ähnliche Unterschiede bei Wortmarken. Massgebend sind die grossen Züge und nicht die Einzelheiten der Bildmarken (Urteile des BVGer B-7506/2006 vom 21. März 2007 E. 7 "Karomuster [fig.]/Karomuster [fig.]" mit Verweisen und B-5830/2009 vom 15. Juli 2010 E. 6.4 f. "fünf Streifen [fig.]/fünf Streifen [fig.]"). Die Gesamtbetrachtung führt dazu, dass die angefochtene Marke der Widerspruchsmarke zu nahe kommt und die beiden Marken verwechselbar werden. Die Vorinstanz hat die Gefahr von Fehlzurechnungen im Ergebnis zu Recht bejaht. Die Beschwerde ist abzuweisen.</w:t>
      </w:r>
    </w:p>
    <w:p>
      <w:r>
        <w:rPr>
          <w:b/>
        </w:rPr>
        <w:t>E. 7.1</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bzw.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Verfahrenskosten insgesamt auf Fr. 4'500.- festzulegen.</w:t>
      </w:r>
    </w:p>
    <w:p>
      <w:r>
        <w:rPr>
          <w:b/>
        </w:rPr>
        <w:t>E. 7.2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Gericht setzt die Entschädigung anhand der eingereichten Kostennote fest (Art. 14 VGKE). Im vorliegenden Beschwerdeverfahren hat die Beschwerdegegnerin ihren Aufwand mit mindestens Fr. 5'700.- (exkl. MwSt.) beziffert. Die beiden eingereichten Leistungsaufstellungen weisen nur Fr. 5'498.63 (inkl. Kostenpauschale und Barauslage, exkl. MwSt.) aus. Anhand des aktenkundigen Aufwands erscheint eine Parteientschädigung in dieser Höhe als überhöht. Angesichts des begrenzten Umfangs und der durchschnittlichen Komplexität der Streitsache, unter Berücksichtigung der im Streit liegenden Interessen und der Schriftlichkeit des Verfahrens sowie in Würdigung vergleichbarer Fälle erscheint eine Parteientschädigung im Betrag von insgesamt Fr. 4'000.- (inkl. Auslagen und MwSt.) als angemessen.</w:t>
      </w:r>
    </w:p>
    <w:p>
      <w:r>
        <w:rPr>
          <w:b/>
        </w:rPr>
        <w:t>E. 8</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