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B-2635/2008 vom 1. Dezember 2008</w:t>
      </w:r>
    </w:p>
    <w:p>
      <w:r>
        <w:t>Bundesverwaltungsgericht, 2008-12-01, DE</w:t>
      </w:r>
    </w:p>
    <w:p>
      <w:r>
        <w:rPr>
          <w:b/>
        </w:rPr>
        <w:t xml:space="preserve">Quelle: </w:t>
      </w:r>
      <w:r>
        <w:t>https://mcp.opencaselaw.ch/entscheid/bvger_B-2635_2008</w:t>
      </w:r>
    </w:p>
    <w:p>
      <w:r>
        <w:t>FR: TAF B-2635/2008 du 1 décembre 2008</w:t>
      </w:r>
    </w:p>
    <w:p>
      <w:r>
        <w:t>IT: TAF B-2635/2008 del 1 dicembre 2008</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lit. d des Bundesgesetzes über das Bundesverwaltungsgericht vom 17. Juni 2005, VGG; SR 173.32).</w:t>
      </w:r>
    </w:p>
    <w:p>
      <w:r>
        <w:rPr>
          <w:b/>
        </w:rPr>
        <w:t>E. 1.2</w:t>
      </w:r>
    </w:p>
    <w:p>
      <w:r>
        <w:t>Die Beschwerdeführerin bezeichnet ihr an das Bundesverwaltungsgericht adressiertes Schreiben zwar als Beschwerde. Die Formulierung ihres Rechtsbegehrens könnte jedoch als Gesuch um Wiedererwägung des vorinstanzlichen Entscheids verstanden werden. Durch ein Widererwägungsgesuch ersucht der Betroffene nicht die Beschwerdeinstanz, sondern die verfügende Behörde, auf ihre Verfügung zurückzukommen und sie abzuändern oder aufzuheben (vgl. Häfelin/Müller/Uhlmann, Allgemeines Verwaltungsrecht, 5. vollständige Auflage, 2006, Zürich, N. 1828). Wendet sich der Betroffene an eine Beschwerdeinstanz, so geht die Behandlung der Sache, die Gegenstand der mit Beschwerde angefochtenen Verfügung bildet, mit Einreichung der Beschwerde an die Beschwerdeinstanz über (Art. 54 des Bundesgesetzes über das Verwaltungsverfahren vom 20. Dezember 1968, VwVG, SR 172.021). Die nach dem Gesagten unkorrekte Formulierung des Rechtsbegehrens der Beschwerdeführerin ist demnach als Antrag auf Aufhebung der angefochtenen Verfügung, verbunden mit dem Begehren auf Eintragung der angefochtenen Marke, zu interpretieren.</w:t>
      </w:r>
    </w:p>
    <w:p>
      <w:r>
        <w:rPr>
          <w:b/>
        </w:rPr>
        <w:t>E. 1.3</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3 VwVG), und die übrigen Sachurteilsvoraussetzungen liegen vor (Art. 48 ff. VwVG). Auf die Beschwerde ist daher einzutreten.</w:t>
      </w:r>
    </w:p>
    <w:p>
      <w:r>
        <w:rPr>
          <w:b/>
        </w:rPr>
        <w:t>E. 2.1</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2.2</w:t>
      </w:r>
    </w:p>
    <w:p>
      <w:r>
        <w:t>Das Markenrecht entsteht mit der Eintragung ins Register und steht demjenigen zu, der die Marke zuerst hinterlegt (Art. 5 f. MSchG). Es verleiht dem Inhaber das ausschliessliche Recht, die Marke zur Kennzeichnung der Waren oder Dienstleistungen, für die sie beansprucht wird, zu gebrauchen und darüber zu verfügen (Art. 13 Abs. 1 MSchG).</w:t>
      </w:r>
    </w:p>
    <w:p>
      <w:r>
        <w:rPr>
          <w:b/>
        </w:rPr>
        <w:t>E. 2.3</w:t>
      </w:r>
    </w:p>
    <w:p>
      <w:r>
        <w:t>Nach Ansicht der Vorinstanz, die von den übrigen Verfahrensbeteiligten auch nicht bestritten wird, handelt es sich bei den hier gegenüberstehenden Zeichen um Familiennamen. Es ist daher von Belang zu wissen, ob für diese Art von Marken spezifische Beurteilungskriterien im Eintragungs- und Widerspruchsverfahren gelten. Das Markenschutzgesetz erwähnt Personennamen in der Aufzählung der einzelnen Markenarten im Sinne von Art. 1 Abs. 2 MSchG nicht ausdrücklich. Gemäss schweizerischer Lehre und Rechtsprechung sind Personennamen aber grundsätzlich eintragungsfähig, sie können monopolisiert werden und geniessen einen entsprechenden Schutz (vgl. hierzu KAMEN TROLLER, Grundzüge des schweizerischen Immaterialgüterrechts, 2., überarbeitete Auflage, Basel, 2005, S. 64; CHRISTOPH WILLI, Kommentar zum Markenschutzgesetz unter Berücksichtigung des europäischen und internationalen Markenrechts, Zürich 2002, N 50 vor Art. 1; LUCAS DAVID, Kommentar zum Markenschutzgesetz, 2. Auflage, Basel 1999, N 15 ad Art. 1 MSchG; EUGEN MARBACH, Schweizerisches Immaterialgüter- und Wettbewerbsrecht III, Kennzeichenrecht, Basel 1996, S. 207; Teil 4 Ziffer 4.4.2.2 der Richtlinien in Markensachen, Bern 2007, mit Hinweisen; MARTIN SCHNEIDER, Überblick über die Rechtsprechung der Eidg. Rekurskommission für geistiges Eigentum (RKGE) im Jahre 2005, sic! 2006 S. 790; BGE 116 II 614; Urteil des Bundesverwaltungsgerichts vom 7 November 2007 B-7433/2006 E. 3). Das geltende Recht sieht für Marken, die aus Personennamen bestehen, keinen unterschiedlichen Schutz vor. Deshalb sind auch für die Eintragung von Vor- bzw. Familiennamen ins Markenregister dieselben absoluten Kriterien wie für die Eintragung der übrigen Markenkategorien massgeblich (B-7433/2006 E. 3 i. f.). Analoges gilt für das Widerspruchsverfahren. Bei der Beurteilung der Verwechslungsgefahr von Marken, die aus Personennamen bestehen, kommen grundsätzlich dieselben Kriterien wie für die übrigen Markenkategorien zur Anwendung (vgl. nachfolgend E. 7.1).</w:t>
      </w:r>
    </w:p>
    <w:p>
      <w:r>
        <w:rPr>
          <w:b/>
        </w:rPr>
        <w:t>E. 3.1</w:t>
      </w:r>
    </w:p>
    <w:p>
      <w:r>
        <w:t>Der Inhaber einer älteren Marke kann gestützt auf Art. 3 Abs. 1 MSchG Widerspruch gegen entsprechende Markeneintragungen erheben (Art. 31 Abs. 1 MSchG). Die Veröffentlichung der Eintragung der angefochtenen Marke erfolgte am 3. April 2007, womit der am 3. Juli 2007 erhobene Widerspruch rechtzeitig erfolgte (vgl. Art. 31 Abs. 2 MSchG). Erweist sich ein Widerspruch als begründet, so wird die Eintragung ganz oder teilweise widerrufen, andernfalls wird der Widerspruch abgewiesen (Art. 33 MSchG).</w:t>
      </w:r>
    </w:p>
    <w:p>
      <w:r>
        <w:rPr>
          <w:b/>
        </w:rPr>
        <w:t>E. 3.2</w:t>
      </w:r>
    </w:p>
    <w:p>
      <w:r>
        <w:t>Art. 3 Abs. 1 MSchG schliesst jüngere Zeichen vom Markenschutz aus, wenn sie einer älteren Marke derart ähnlich sind, dass sich da- 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 VW, BGE 128 III 441 E. 3.1 - Appenzeller, BGE 127 III 160 E. 2a -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3.3</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w:t>
      </w:r>
    </w:p>
    <w:p>
      <w:r>
        <w:rPr>
          <w:b/>
        </w:rPr>
        <w:t>E. 4</w:t>
      </w:r>
    </w:p>
    <w:p>
      <w:r>
        <w:t>Für die Beurteilung der Verwechslungsgefahr kommt es sowohl auf die Zeichenähnlichkeit (vgl. nachfolgend E. 6) als auch auf die Warengleichartigkeit (vgl. nachfolgend E. 5) an, wobei zwischen den beiden Elementen eine Wechselwirkung besteht (L. DAVID, a. a. O., N 8 ad Art. 3 MSchG).</w:t>
      </w:r>
    </w:p>
    <w:p>
      <w:r>
        <w:rPr>
          <w:b/>
        </w:rPr>
        <w:t>E. 5</w:t>
      </w:r>
    </w:p>
    <w:p>
      <w:r>
        <w:t>Je näher sich die Waren und Dienstleistungen sind, für welche die Marken registriert sind, desto grösser wird das Risiko von Verwechslungen und desto stärker muss sich das jüngere Zeichen vom älteren abheben, um die Verwechslungsgefahr zu bannen. Ein strenger Massstab ist anzulegen, wenn beide Marken für weitgehend identische Waren oder Dienstleistungen bestimmt sind (BGE 126 III 315 E. 6b/bb - apiella, BGE 122 III 382 E. 3a - Kamillosan).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 Den jeweiligen Einträgen in den Registern ist zu entnehmen, dass sowohl die angefochtene Marke als auch die Widerspruchsmarke den Markenschutz für verschiedene, zum Teil identische Waren der Klassen 18 und 25 beanspruchen. In der angefochtenen Verfügung hat die Vorinstanz die Warengleichheit bzw. eine hochgradige Warengleichartigkeit zwischen einzelnen Produkten der angefochtenen Marke einerseits und einigen Produkten der Widerspruchsmarke andererseits festgehalten. Diese nicht zu beanstandende Würdigung wird von der Beschwerdeführerin und der Beschwerdegegnerin zu Recht geteilt und nicht bestritten. Es ist demnach von einer Warenidentität bzw. einem erhöhten Grad von Warengleichartigkeit auszugehen.</w:t>
      </w:r>
    </w:p>
    <w:p>
      <w:r>
        <w:rPr>
          <w:b/>
        </w:rPr>
        <w:t>E. 6.1</w:t>
      </w:r>
    </w:p>
    <w:p>
      <w:r>
        <w:t>Die Markenähnlichkeit beurteilt sich nach dem Gesamteindruck, den die Marken in der Erinnerung der angesprochenen Verkehrskreise hinterlassen (BGE 121 III 377 E. 2a - Boss; MARBACH, SIWR III, a. a. O., S. 116; DAVID, a. a. O., Art. 3 N. 11 und 15; MSchG-WILLI, Art. 3 N. 63 und 67). Der Gesamteindruck wird bei Wortmarken durch den Klang, das Schriftbild und, gegebenenfalls, den Sinngehalt bestimmt (BGE 127 III 160 E. 2b/cc - Securitas, BGE 122 III 382 E. 5a - Kamillosan). Dabei genügt es für die Annahme der Ähnlichkeit, wenn diese in Bezug auf nur eines dieser Kriterien bejaht wird (MARBACH, SIWR III, S. 118). Der Wortklang wird im Wesentlichen durch die Silbenzahl, die Aussprachekadenz und die Aufeinanderfolge der Vokale bestimmt, das Schriftbild durch die Wortlänge und die optische Wirkung der Buchstaben (BGE 127 III 160 E. 2b/cc - Securitas, BGE 122 III 382 E. 5a - Kamillosan, BGE 119 II 473 E. 2c - Radion).</w:t>
      </w:r>
    </w:p>
    <w:p>
      <w:r>
        <w:rPr>
          <w:b/>
        </w:rPr>
        <w:t>E. 6.2</w:t>
      </w:r>
    </w:p>
    <w:p>
      <w:r>
        <w:t>Vorliegend stehen sich zwei Wortmarken gegenüber. Bei der Prüfung der Zeichenähnlichkeit hat die Vorinstanz zu Recht erkannt, dass die angefochtene Marke aus einem Vor- und Familiennamen gebildet ist. Ausgehend vom in der Rechtsprechung entwickelten Erfahrungssatz, wonach aus Vor- und Familiennamen zusammengesetzte Marken in der Regel der Familienname im Vordergrund steht (vgl. RKGE in sic! 2006, 407 - Laura Ashley; BGE vom 15. Oktober 2007 4A_44/2007 "sergio rossi [fig.] et. al.; Miss Rossi / Rossi [fig.] E. 6.4.5; 116 II 614 E. 4b - "Paolo Gucci / Guccio Gucci"; 95 II 354 - Elisabeth Arden; BGE 93 II 47 - Helena Rubinstein) hat die Vorinstanz in einem ersten Schritt nur den Nachnamen "Molinari" der angefochtenen Marke mit dem Familiennamen der Widerspruchsmarke ("monari") verglichen und die Zeichenähnlichkeit bejaht. In einem zweiten Schritt gelangte sie zur Erkenntnis, dass der Zeichenbestandteil "Anna" die Zeichenähnlichkeit der Familiennamen nicht zu kompensieren vermochte.</w:t>
      </w:r>
    </w:p>
    <w:p>
      <w:r>
        <w:rPr>
          <w:b/>
        </w:rPr>
        <w:t>E. 6.2.1</w:t>
      </w:r>
    </w:p>
    <w:p>
      <w:r>
        <w:t>Wird die angefochtene Marke in Anlehnung an die zitierte Praxis einzig auf den Familiennamen "Molinari" reduziert und mit der Widerspruchsmarke verglichen, so ist auf der Ebene des Schriftbildes festzuhalten, dass die angefochtene Marke aus vier (mo-li-na-ri) und die Widerspruchsmarke aus drei Silben (mo-na-ri) besteht. Die angefochtene Marke ist demnach um zwei Buchstaben länger als die Widerspruchsmarke. Da das Erinnerungsbild von Wortmarken weniger durch das Schriftbild als durch den Wortklang und den Sinngehalt geprägt wird (MSchG-Willi, N 78 ad Art. 3 MSchG), ist das Augenmerk nachfolgend eher auf diese zwei letztgenannten Aspekte zu richten.</w:t>
      </w:r>
    </w:p>
    <w:p>
      <w:r>
        <w:rPr>
          <w:b/>
        </w:rPr>
        <w:t>E. 6.2.2</w:t>
      </w:r>
    </w:p>
    <w:p>
      <w:r>
        <w:t>Hinsichtlich des Wortklangs stimmen die Vergleichsmarken in den Silben mo-na-ri überein. Die jüngere Marke weist in der Zeichenmitte jedoch zusätzlich die Silbe "LI" auf. Gemäss Rechtsprechung findet der Wortanfang und die Endung in der Regel grössere Beachtung als die dazwischen liegenden Silben (vgl. BGE 122 III 390 Kamillosan / Kamillan und Kamillon) und die Beifügung einer Mittelsilbe ändert in der Regel wenig am Gesamteindruck (DAVID, a. a. O., N 19 ad MSchG 3). Die zusätzliche Silbe "LI" wirkt sich in casu jedoch auf den Sprachrhythmus, die Vokalfolge und nicht zuletzt auch auf das Schriftbild der angefochtenen Marke aus. Im Fall "Zara / zahara (fig.)" (vgl. RKGE in sic! 2005, 749) hatte die damals zuständige Rekurskommission die zusätzliche Mittelsilbe der Widerspruchsmarke "ha" als phonetisch schwach bezeichnet, da diese zwei Buchstaben bei einer normalen Aussprache miteinander verschmelzen und mithin überhört werden konnten. Im vorliegenden Fall sind indessen keine Gründe für eine phonetische Schwäche ersichtlich. Insbesondere ist nicht einzusehen, warum die Konsumenten - unabhängig davon, aus welcher Sprachregion der Schweiz sie stammen - bei einer normalen Aussprache der angefochtenen Marke die Silbe "LI" nicht mitsprechen sondern schlucken sollten, zumal diese Buchstabenfolge ziemlich leicht über die Lippen geht (vgl. im Unterschied dazu BGE 4C.88/2007 "Zero / Zerorh+ [fig.]", E. 2.3.4). Es ist auch schwer nachzuvollziehen, dass beim Hören und Lesen der angefochtenen Marke die Konsumenten diese Silbe leicht überhören oder sogar übersehen könnten, wie die Vorinstanz befürchtet. Durch die Einschiebung der Silbe "LI" kommt es zu einer unterschiedlichen Anzahl Silben und einer unterschiedlichen Vokalfolge (O-I-A-I gegenüber O-A-I). Eine weitere wichtige Konsequenz liegt darin, dass die angefochtene Marke und die Widerspruchsmarke voneinander verschiedene Wortstämme ("mo-li" einerseits, "mo-na" andererseits) aufweisen. Die Summe dieser Unterschiede ist geeignet, den Gesamteindruck zu beeinflussen, der die angefochtene Marke beim Publikum hinterlässt. An diesem Ergebnis vermag der Umstand, dass sowohl bei der angefochtenen als auch bei der Widerspruchsmarke die Hauptbetonung auf die zweit- letzte Silbe (na) fällt, nichts zu ändern. Wie zuvor erwähnt, bewirkt die Mittelsilbe im Zeichen Molinari eine abweichende Vokalfolge, eine andere Silbenzahl und eine unterschiedliche Kadenz. Aus dieser Warte ergeben sich noch keine hinreichenden Anhaltspunkte, die gegen die Unterscheidbarkeit sprechen könnten. Die Frage, ob es sich bereits aus diesen Gründen rechtfertigt, in casu eine Ausnahme von der in Lehre und Rechtsprechung entwickelten Regel zu machen, wonach Mittelsilben bei der Beurteilung der Markenähnlichkeit oft nur eine untergeordnete Bedeutung zukommt, ist auch unter Berücksichtigung der speziellen Thematik der Verwechselbarkeit von Personennamen im entsprechenden Warenbereich zu prüfen (vgl. E. 6.3 und 7.2 hernach).</w:t>
      </w:r>
    </w:p>
    <w:p>
      <w:r>
        <w:rPr>
          <w:b/>
        </w:rPr>
        <w:t>E. 6.2.3</w:t>
      </w:r>
    </w:p>
    <w:p>
      <w:r>
        <w:t>Grundsätzlich ist die Ansicht der Vorinstanz nicht zu beanstanden, wonach beiden Konfliktzeichen, soweit die beiden Nachnamen betreffend, kein über die Bedeutung als Familienname hinausgehender Sinngehalt zukommt. Aus dem schweizerischen Internet-Telefonverzeichnis unter www.tel.search.ch ergeben sich beim Eintippen des Familiennamens "Molinari" ungefähr 390 Treffer. Wird der Familienname "Monari" eingegeben, so resultieren 7 Einträge. Es liegt auf der Hand, dass diejenigen Konsumenten, welche in den zwei sich gegenüberstehenden Zeichen je einen Familiennamen erkennen, diese auch ohne grosse Gedankenarbeit auseinanderzuhalten wissen. Das wird übrigens auch von der Vorinstanz nicht bestritten. Andererseits ist der Einwand der Beschwerdeführerin, wonach die durchschnittlichen Schweizer Abnehmer im Namen "Molinari" ein Hinweis auf das Substantiv "molino" erblicken würden, mit einer gewissen Skepsis zu begegnen. Selbst die italienischsprachigen Konsumenten dürften Mühe haben, zu einer solchen Erkenntnis zu gelangen, zumal das Substantiv "molino" eine ziemlich selten vorkommende Variante des Substantivs "mulino" (Mühle) darstellt.</w:t>
      </w:r>
    </w:p>
    <w:p>
      <w:r>
        <w:rPr>
          <w:b/>
        </w:rPr>
        <w:t>E. 6.3</w:t>
      </w:r>
    </w:p>
    <w:p>
      <w:r>
        <w:t>Die Beschwerdeführerin beanstandet, dass die Vorinstanz bei der Prüfung der Zeichenähnlichkeit den Familiennamen "Molinari" losgelöst und nicht in Verbindung mit dem Vornamen "Anna" berücksichtigt habe. Die Erfassung von Vor- und Familiennamen in ihrer Gesamtheit sei aber äusserst wichtig. Werde die angefochtene Marke in dieser Form verwendet, definiere diese den Namen einer berühmten Modedesignerin, welche die Unternehmung X._______ gegründet habe. Letztere sei ihrerseits Inhaberin der Marken A.______ und B._____, die zu den zehn weltberühmtesten europäischen Marken gehörten. Demgegenüber stützen sich sowohl die Vorinstanz als auch die Beschwerdegegnerin auf den in konstanter Rechtsprechung (zitiert vorne in E. 6.2) verwendeten Erfahrungssatz, wonach sich das Publikum bei aus Vor- und Familiennamen gebildeten Marken in der Regel am Familiennamen orientiert, weshalb ihrer Meinung nach der Familienname das charakteristische Element der Marke darstellt. Bereits die Vorgängerorganisation hatte in ihrer Praxis allerdings festgehalten, dass diese Regel jedoch nicht absolut zu gelten habe und dass Marken so zu vergleichen sind, wie sie im Register eingetragen sind (vgl. RKGE in sic! 2006 S. 407 "Laura Ashley / mary-kateandashley", E. 6 i. f. m. w. H.). Der deutsche Bundesgerichtshof geht indessen vom gegenteiligen Grundsatz aus, dass sich der Verkehr in aller Regel an dem aus Vor- und Familiennamen gebildeten Gesamtnamen orientiere, zu dessen Individualisierung auch der Vorname wesentlich beitrage, wobei jeweils auf die konkrete Kollisionslage abzustellen sei (HACKER in STRÖBELE/HACKER/KIRSCHNECK, Markengesetz, Kommentar, 8. vollständig überarbeitete und erweiterte Auflage, § 9 N 291-295 mit Hinweisen auf die deutsche Gerichtspraxis). Gegen die schematische Anwendung des genannten Erfahrungssatzes auf den vorliegenden Sachverhalt sprechen im hier zu beurteilenden Fall einige Argumente. In erster Linie scheint sich die zitierte Praxis oft nur auf Fälle zu beschränken, in welchen die angefochtene sowie die Widerspruchsmarke vollkommen identische Familiennamen aufweisen (vgl. BGE 4A_44/2007 "sergio rossi [fig.] et. al. ; Miss Rossi / Rossi [fig.]; RKGE in sic! 2005 S. 571 "CJ Cavalli Jeans [fig.] / Rocco Cavalli [fig.]; BGE 116 II 614 "Paolo Gucci / Guccio Gucci"). Im Gegensatz dazu sind die sich in casu gegenüberstehenden Familiennamen aber nicht identisch. Des Weiteren ist anzumerken, dass dem Vornamen in der Modeindustrie oft keine mindere Bedeutung als dem Familiennamen beigemessen wird. Im genannten Geschäftszweig sind zahlreiche Marken anzutreffen, welche sich aus einem Vor- und einem Familiennamen zusammensetzen. Zum Beispiel Calvin Klein, Giorgio Armani, Tommy Hilfiger, Yves Saint Laurent, Jil Sander, Laura Biagiotti, Hugo Boss und Paco Rabanne. Dabei ist nicht massgeblich, ob sich hinter diesen Namenverbindungen wahre oder fiktive Persönlichkeiten verbergen (vgl. hierzu auch die Richtlinien der Vorinstanz, Ziff. 4.4.2.2, pag. 72). Vielmehr sind diese Kombinationen von Vor- und Familiennamen geeignet, beim Publikum den Eindruck zu vermitteln, dass die Kennzeichnung der Ware oft in Anwendung von Vor- und Familiennamen erfolgt. Es ist in diesen Fällen mit grosser Wahrscheinlichkeit davon auszugehen, dass die Konsumenten Vor- und Familiennamen als zusammengehörende Einheit wahrnehmen. Angenommen, dass das strittige Zeichen "Molinari" in Alleinstellung von den Durchschnittskonsumenten noch nicht als Familienname aufgefasst wird, erhält dieses aber spätestens durch die Beifügung des Vornamens "Anna" seine eigentliche Individualisierung. Als Ganzes betrachtet kann "Anna Molinari" beim Publikum den Eindruck erwecken, dass es sich dabei um den Vor- und Nachnamen einer real oder nur in der Phantasie existierenden Frau italienischer Abstammung handelt. Indessen kann bei der Widerspruchsmarke "monari" eine solche Individualisierung nicht unbedingt angenommen werden. Nach dem Gesagten ergeben sich Anhaltspunkte, wonach der Zeichenbestandteil in Form des Vornamens "Anna" - in Anlehnung an die Beispiele aus der Modebranche - zusammen mit dem Familiennamen "Molinari" als Einheit betrachtet werden kann. Aufgrund der Umstände des Einzelfalls hätte sich daher eine Abweichung vom Erfahrungssatz, wonach dem Familiennamen in der Regel eine grössere Bedeutung als dem Vornamen zukommt, als legitim erwiesen. Die gleichzeitige Berücksichtigung beider Zeichenbestandteile der angefochtenen Marke führt zu zusätzlichen Unterschieden im Schriftbild, Wortklang und Sinngehalt. In diesen Überlegungen lässt sich somit eine weitere Stütze für die Ablehnung der Zeichenähnlichkeit erblicken.</w:t>
      </w:r>
    </w:p>
    <w:p>
      <w:r>
        <w:rPr>
          <w:b/>
        </w:rPr>
        <w:t>E. 7</w:t>
      </w:r>
    </w:p>
    <w:p>
      <w:r>
        <w:t>Schliesslich ist in einer wertenden Gesamtbetrachtung darüber zu befinden, ob eine Verwechslungsgefahr besteht (Art. 3 Abs. 1 Bst. c MSchG). Bei der Beurteilung der Verwechslungsgefahr von Marken, die aus Personennamen (Vor- und / oder Familienname) gebildet sind, gelten grundsätzlich dieselben Kriterien wie für die übrigen Markenkategorien. Eine Besserstellung von Namensbestandteilen existiert im Markenrecht nicht (vgl. RKGE in sic! 2006 S. 859, E. 8 "Pfleger / CP Caren Pfleger"; BGE 116 II 614).</w:t>
      </w:r>
    </w:p>
    <w:p>
      <w:r>
        <w:rPr>
          <w:b/>
        </w:rPr>
        <w:t>E. 7.1</w:t>
      </w:r>
    </w:p>
    <w:p>
      <w:r>
        <w:t>Es ist unbestritten, dass die von den Vergleichszeichen beanspruchten Waren zum grössten Teil identisch sowie in hohem Grad gleichartig sind, weshalb ein besonders strenger Massstab anzulegen ist. Grundsätzlich ist davon auszugehen, dass es sich bei den von der angefochtenen Marke und der Widerspruchsmarke beanspruchten Waren um Produkte des täglichen Bedarfs handelt, welche sich an ein breites Publikum richten, von dem bei der Prüfung hinsichtlich Markenunterschiede keine besondere Aufmerksamkeit erwartet werden darf. Das wird von den Verfahrensbeteiligten im Übrigen auch nicht bestritten.</w:t>
      </w:r>
    </w:p>
    <w:p>
      <w:r>
        <w:rPr>
          <w:b/>
        </w:rPr>
        <w:t>E. 7.2</w:t>
      </w:r>
    </w:p>
    <w:p>
      <w:r>
        <w:t>Der Widerspruchsmarke "monari" kann in Verbindung mit den massgeblichen Waren kein beschreibender Sinngehalt zugeordnet werden, weshalb ihr ein normaler Schutzumfang zukommt (vgl. vorne E. 3.3). Wie vorne in E. 6.2.1 bis E. 6.2.3 festgestellt wurde, unterscheiden sich die Zeichen durch die Ergänzung der Silbe "LI" in der angefochtenen Marke sowohl auf der Ebene des Schriftbildes als auch auf derjenigen des Wortklangs. Bezüglich des Sinngehalts ist ohne weiteres anzunehmen, dass die Konsumenten in den zwei zur Diskussion stehenden Zeichen je einen Familiennamen erblicken können. Unter dem Aspekt, dass Marken in der Modeindustrie oft unter Verwendung des Vor- und Familiennamens gebraucht werden, ist anzunehmen, dass die massgeblichen Verkehrskreise die Marke "Anna Molinari" als Einheit erfassen und allenfalls der italienischen Modedesignerin zuordnen. Ist das aus einem Vor- und Nachnamen bestehende Zeichen als Unterscheidungskraft bewirkende Einheit aufzufassen, so stellt sich die Frage nach der in Erwägung 6.2.2 hiervor genannten Bedeutung der Mittelsilbe des Zeichens Molinari nicht.</w:t>
      </w:r>
    </w:p>
    <w:p>
      <w:r>
        <w:rPr>
          <w:b/>
        </w:rPr>
        <w:t>E. 7.3</w:t>
      </w:r>
    </w:p>
    <w:p>
      <w:r>
        <w:t>Angesichts der Umstände im konkreten Fall besteht nach dem Gesagten keine Gefahr von Fehlzurechnungen. Es liegt keine Verwechslungsgefahr vor, weder in ihrer unmittelbaren noch in ihrer mittelbaren Form (vgl. vorne E. 3.2). Dem Argument der Beschwerdegegnerin, wonach das Publikum bei der Begegnung mit der angefochtenen Marke die Vermutung anstellen werde, bei der angefochtenen Marke handle es sich um eine Serienmarke der Widerspruchsmarke, kann nicht gefolgt werden. Gemäss Lehre und Rechtsprechung setzt die Annahme einer Serienmarke die Existenz von mehr als einer Marke voraus (vgl. MSchG-Willi, N. 12 ad Art. 3 MSchG). Die Kennzeichnungskraft von Serienmarken kann nur geltend machen, wer nachweist, dass die Marken der Serie dem Publikum infolge ihres Gebrauchs bekannt sind (RKGE in sic! 11/2005, S. 805, "Suprême des Ducs / Suprême de fromage Eisis Chästerrine [fig.]). Entsprechende Präzisierungen sind den Eingaben der Beschwerdegegnerin nicht zu entnehmen.</w:t>
      </w:r>
    </w:p>
    <w:p>
      <w:r>
        <w:rPr>
          <w:b/>
        </w:rPr>
        <w:t>E. 8</w:t>
      </w:r>
    </w:p>
    <w:p>
      <w:r>
        <w:t>Da mangels Markenähnlichkeit eine Verwechslungsgefahr vorliegend zu verneinen ist, erweist sich die Beschwerde als begründet, womit sie gutzuheissen, die Verfügung der Vorinstanz aufzuheben und der Widerspruch vollumfänglich abzuweisen ist.</w:t>
      </w:r>
    </w:p>
    <w:p>
      <w:r>
        <w:rPr>
          <w:b/>
        </w:rPr>
        <w:t>E. 9</w:t>
      </w:r>
    </w:p>
    <w:p>
      <w:r>
        <w:t>Bei diesem Ausgang des Verfahrens wird die Beschwerdegegnerin kosten- und entschädigungspflichtig (Art. 63 Abs. 1 VwVG und Art. 64 Abs. 1 VwVG).</w:t>
      </w:r>
    </w:p>
    <w:p>
      <w:r>
        <w:rPr>
          <w:b/>
        </w:rPr>
        <w:t>E. 9.1</w:t>
      </w:r>
    </w:p>
    <w:p>
      <w:r>
        <w:t>Die Gerichtsgebühr ist nach Umfang und Schwierigkeit der Streitsache, Art der Prozessführung und finanzieller Lage der Parteien festzulegen (Art. 63 Abs. 4bis VwVG, Art. 2 des Reglements vom 11. Dezember 2006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vgl. auch Johann Zürcher, Der Streitwert in Prozessen um Immaterialgüterrechte und Firmen, sic! 2001 S. 559 ff. Lucas David, Der Rechtsschutz im Immaterialgüterrecht, Schweizerisches Immaterialgüter- und Wettbewerbsrecht [SIWR], Bd. I/2, 2. Aufl. 1998, S. 29). Vorliegend rechtfertigt es sich, die Verfahrenskosten auf Fr. 4'000.- festzulegen.</w:t>
      </w:r>
    </w:p>
    <w:p>
      <w:r>
        <w:rPr>
          <w:b/>
        </w:rPr>
        <w:t>E. 9.2</w:t>
      </w:r>
    </w:p>
    <w:p>
      <w:r>
        <w:t>Bei diesem Ausgang des Verfahrens hat die Beschwerdegegnerin die Kosten des erstinstanzlichen Widerspruchsverfahrens (Widerspruchsgebühr von Fr. 800.-) zu tragen (Art. 34 MSchG und 54 VwVG). Ziff. 4 der angefochtenen Verfügung ist demnach aufzuheben.</w:t>
      </w:r>
    </w:p>
    <w:p>
      <w:r>
        <w:rPr>
          <w:b/>
        </w:rPr>
        <w:t>E. 9.3</w:t>
      </w:r>
    </w:p>
    <w:p>
      <w:r>
        <w:t>Mit Zwischenverfügung vom 10. Juni 2008 wurde unter anderem der Antrag der Beschwerdeführerin abgewiesen, das vorliegende Beschwerdeverfahren in italienischer Sprache durchzuführen. Es rechtfertigt sich daher, der Beschwerdeführerin Verfahrenskosten für einen Betrag von Fr. 200.- aufzuerlegen. Diese werden mit dem von ihr am 20. Mai 2008 geleisteten Kostenvorschuss von Fr. 4'000.- verrechnet. Die Differenz von Fr. 3'800.- wird ihr zurückerstattet.</w:t>
      </w:r>
    </w:p>
    <w:p>
      <w:r>
        <w:rPr>
          <w:b/>
        </w:rPr>
        <w:t>E. 10</w:t>
      </w:r>
    </w:p>
    <w:p>
      <w:r>
        <w:t>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Aufgrund sowohl der Stellungnahme im Widerspruchsverfahren als auch der beim Bundesverwaltungsgericht eingereichten Beschwerde sowie unter Berücksichtigung, dass die Aufhebung der Ziffer 4 des angefochtenen Dispositivs die Kostentragung der vorinstanzlichen Widerspruchsgebühr durch die Beschwerdegegnerin bewirkt, erscheint eine Parteientschädigung von insgesamt Fr. 2'500.- (inkl. MWSt) für das erstinstanzliche Verfahren und das Beschwerdeverfahren angemessen.</w:t>
      </w:r>
    </w:p>
    <w:p>
      <w:r>
        <w:rPr>
          <w:b/>
        </w:rPr>
        <w:t>E. 11</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