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B-2627/2009 vom 27. Mai 2009</w:t>
      </w:r>
    </w:p>
    <w:p>
      <w:r>
        <w:t>Bundesverwaltungsgericht, 2009-05-27, DE</w:t>
      </w:r>
    </w:p>
    <w:p>
      <w:r>
        <w:rPr>
          <w:b/>
        </w:rPr>
        <w:t xml:space="preserve">Quelle: </w:t>
      </w:r>
      <w:r>
        <w:t>https://mcp.opencaselaw.ch/entscheid/bvger_B-2627_2009</w:t>
      </w:r>
    </w:p>
    <w:p>
      <w:r>
        <w:t>FR: TAF B-2627/2009 du 27 mai 2009</w:t>
      </w:r>
    </w:p>
    <w:p>
      <w:r>
        <w:t>IT: TAF B-2627/2009 del 27 maggio 2009</w:t>
      </w:r>
    </w:p>
    <w:p>
      <w:pPr>
        <w:pStyle w:val="Heading2"/>
      </w:pPr>
      <w:r>
        <w:t>Regeste</w:t>
      </w:r>
    </w:p>
    <w:p>
      <w:r>
        <w:t>Finanzmarktaufsicht</w:t>
      </w:r>
    </w:p>
    <w:p>
      <w:pPr>
        <w:pStyle w:val="Heading2"/>
      </w:pPr>
      <w:r>
        <w:t>Erwägungen</w:t>
      </w:r>
    </w:p>
    <w:p>
      <w:r>
        <w:rPr>
          <w:b/>
        </w:rPr>
        <w:t>E. 1</w:t>
      </w:r>
    </w:p>
    <w:p>
      <w:r>
        <w:t>Die Behörde hört die Parteien an, bevor sie verfügt.</w:t>
      </w:r>
    </w:p>
    <w:p>
      <w:r>
        <w:rPr>
          <w:b/>
        </w:rPr>
        <w:t>E. 1.1</w:t>
      </w:r>
    </w:p>
    <w:p>
      <w:r>
        <w:t>Die Beschwerdeführerinnen beantragen mit ihrer Eingabe vom 24. April 2009 sinngemäss die Aufhebung der superprovisorischen Verfügung der Vorinstanz vom 30. März 2009. Demgegenüber schliesst die Vorinstanz unter Berufung auf BGE 126 II 111 E. 6, 130 II 351 E. 3.2.1 und 3.2.2 sowie 132 II 382 E. 1.2.1 auf Nichteintreten. Letztere argumentiert im Wesentlichen, das Bundesgericht habe namentlich mit Blick auf seine eingeschränkte Kognition den Weiterzug superprovisorisch erlassener Verfügungen der Eidgenössischen Bankenkommission (EBK) abgelehnt und verlangt, dass die EBK nach Gewährung des rechtlichen Gehörs eine 2. Verfügung in der Form einer Zwischenverfügung i.S.v. Art. 45 Abs. 2 VwVG (in alter Fassung; AS 1969/737) erlasse, gegen welche dann - nach früherem Recht - Verwaltungsgerichtsbeschwerde geführt werden könne. An dieser Praxis möchte die Vorinstanz nun festhalten, auch wenn dem Bundesverwaltungsgericht (BVGer) volle Kognition zukomme (Art. 49 VwVG). Denn mit einer Änderung der bisherigen Praxis gehe den Parteien in unzulässiger Weise eine Instanz verloren. Im Folgenden ist zu prüfen, wie es sich damit verhält.</w:t>
      </w:r>
    </w:p>
    <w:p>
      <w:r>
        <w:rPr>
          <w:b/>
        </w:rPr>
        <w:t>E. 1.2</w:t>
      </w:r>
    </w:p>
    <w:p>
      <w:r>
        <w:t>In BGE 126 II 111 ff. E. 6 b. aa. (bestätigt in BGE 132 II 382 E. 1.2.1 sowie 130 II 351 E. 3.2.1 und 3.2.2) hielt das Bundesgericht fest, dass die Behörde, bevor sie verfüge, nach Art. 30 Abs. 2 lit. e VwVG von der vorherigen Anhörung einer Partei absehen könne, wenn Gefahr im Verzug sei, die Parteien gegen die Verfügung Beschwerde führen könnten und ihnen keine andere Bestimmung des Bundesrechts einen Anspruch auf vorgängige Anhörung einräume. Indessen sei unmittelbar daran anschliessend das rechtliche Gehör zu gewähren, worauf nach Art. 45 Abs. 2 lit. g VwVG (in der Fassung bis zum 31. Dezember 2006; AS 1969/737) eine vor Bundesgericht anfechtbare Zwischenverfügung zu erlassen sei.</w:t>
      </w:r>
    </w:p>
    <w:p>
      <w:r>
        <w:rPr>
          <w:b/>
        </w:rPr>
        <w:t>E. 1.3</w:t>
      </w:r>
    </w:p>
    <w:p>
      <w:r>
        <w:t>Die Rechtslage ist nun aber seit diesem Entscheid insofern eine andere, als mit der Revision der Bundesrechtspflege das Bundesverwaltungsgericht erste Beschwerdeinstanz gegen Verfügungen der Vorinstanz ist, mit der Folge, dass über solche Beschwerden eine Beschwerdeinstanz mit voller Kognition entscheidet (Art. 49 VwVG). Damit fällt das Argument der eingeschränkten Kognition dahin, welches bisher gegen eine Anfechtung der superprovisorischen Verfügung der Finanzmarkt-Aufsichtsbehörde angeführt wurde.</w:t>
      </w:r>
    </w:p>
    <w:p>
      <w:r>
        <w:rPr>
          <w:b/>
        </w:rPr>
        <w:t>E. 1.3.1</w:t>
      </w:r>
    </w:p>
    <w:p>
      <w:r>
        <w:t>Die Vorinstanz bringt indessen vor, die bisherige Verfahrensordnung sei auch aus einem anderen Grund beizubehalten. So ergäben sich im Laufe der Untersuchung regelmässig neue Erkenntnisse, zu denen sich die betroffene Partei jedenfalls nicht gegenüber der verfügenden Behörde äussern könne, wenn die Frage der Rechtmässigkeit des Anhebens einer Untersuchung und des Ergreifens weiterer vorsorglicher Massnahmen sogleich der Rechtsmittelbehörde vorgelegt würde. Dadurch gehe der betroffenen Partei eine Instanz verloren.</w:t>
      </w:r>
    </w:p>
    <w:p>
      <w:r>
        <w:rPr>
          <w:b/>
        </w:rPr>
        <w:t>E. 1.3.2</w:t>
      </w:r>
    </w:p>
    <w:p>
      <w:r>
        <w:t>Vorliegend verhält es sich so, dass kurze Zeit nach Erlass der superprovisorischen Verfügung und Einreichung der dagegen gerichteten Beschwerde der Bericht der von der Vorinstanz eingesetzten Untersuchungsbeauftragten fertiggestellt wurde. Dieser gibt in einlässlicher Weise Auskunft über die Wahrnehmungen der Untersuchungsbeauftragten, zu welchen sich die Beschwerdeführerinnen äussern können und mit welchen sich die Vorinstanz in ihrer Endverfügung auseinandersetzen wird. Diese Verfügung wird beim Bundesverwaltungsgericht angefochten werden können. Daraus ist ersichtlich, dass - entgegen der Auffassung der Vorinstanz - der betreffenden Partei keine In-stanz verloren geht, wenn ihr die Beschwerdeführung bereits gegen die superprovisorische Verfügung von vorsorglichen Massnahmen zugestanden wird.</w:t>
      </w:r>
    </w:p>
    <w:p>
      <w:r>
        <w:rPr>
          <w:b/>
        </w:rPr>
        <w:t>E. 1.3.3</w:t>
      </w:r>
    </w:p>
    <w:p>
      <w:r>
        <w:t>Es kommt hinzu, dass die in BGE 126 II 111 unter altem Recht begründete Rechtsprechung für die betroffene Partei im Gegenteil insofern eine prozessuale Schlechterstellung bedeutete, als diese sich gegen die regelmässig sehr einschneidenden vorsorglichen Massnahmen während längerer Zeit nicht bei einer unabhängigen richterlichen Instanz zur Wehr setzen konnte. Sie hatte zwar die Möglichkeit, bei der Vorinstanz den Erlass eines anfechtbaren Zwischenentscheids zu verlangen und danach diesen gerichtlich anzufechten, doch musste sie eine solche Verzögerung als sehr unbefriedigend empfinden. Mit dem Wegfall der Kognitionsbeschränkung des erstinstanzlich angerufenen Gerichts, die offenbar zu dieser Praxis geführt hat, besteht nach Auffassung des BVGer kein Anlass mehr, diese Praxis weiterzuführen.</w:t>
      </w:r>
    </w:p>
    <w:p>
      <w:r>
        <w:rPr>
          <w:b/>
        </w:rPr>
        <w:t>E. 1.3.4</w:t>
      </w:r>
    </w:p>
    <w:p>
      <w:r>
        <w:t>Dies gilt umso mehr, als diese Praxis heute ohne zureichende Gründe gegen den Wortlaut von Art. 30 VwVG verstossen würde. Dieser lautet wie folgt:</w:t>
      </w:r>
    </w:p>
    <w:p>
      <w:r>
        <w:rPr>
          <w:b/>
        </w:rPr>
        <w:t>E. 1.4</w:t>
      </w:r>
    </w:p>
    <w:p>
      <w:r>
        <w:t>Bei der angefochtenen superprovisorischen Verfügung handelt es sich um eine Verfügung i.S.v. Art. 5 VwVG. Das Bundesverwaltungsgericht ist gemäss Art. 31 des Verwaltungsgerichtsgesetzes vom 17. Juni 2005 (VGG, SR 173.32) zuständig für die Beurteilung der Beschwerden der Vorinstanz.</w:t>
      </w:r>
    </w:p>
    <w:p>
      <w:r>
        <w:rPr>
          <w:b/>
        </w:rPr>
        <w:t>E. 1.5</w:t>
      </w:r>
    </w:p>
    <w:p>
      <w:r>
        <w:t>Die Beschwerdeführerinnen haben vor der Vorinstanz am Verwaltungsverfahren teilgenommen und sind Adressatinnen der angefochtenen Verfügung. Sie sind durch diese besonders berührt und haben daher ein schutzwürdiges Interesse an deren Aufhebung oder Änderung (Art. 48 Abs. 1 lit. a-c VwVG i.V.m. Art. 37 VGG). Sie sind daher zur Beschwerdeführung legitimiert.</w:t>
      </w:r>
    </w:p>
    <w:p>
      <w:r>
        <w:rPr>
          <w:b/>
        </w:rPr>
        <w:t>E. 1.6</w:t>
      </w:r>
    </w:p>
    <w:p>
      <w:r>
        <w:t>Eingabefrist sowie Anforderungen an Form und Inhalt der Beschwerdeschrift ist gewahrt (Art. 50 Abs. 1 und 52 Abs. 1 VwVG). Der Kostenvorschuss wurde fristgerecht einbezahlt (Art. 63 Abs. 4 VwVG). Auch die übrigen Sachurteilsvoraussetzungen sind gegeben. Insbesondere geht das BVGer vorliegend davon aus, dass die im summarischen Verfahren nicht leicht zu überprüfenden Angaben hinsichtlich der Vertretungsverhältnisse zutreffen. In einem allfälligen Beschwerdeverfahren gegen die Endverfügung der Vorinstanz wird diese Frage indessen eingehender zu untersuchen sein.</w:t>
      </w:r>
    </w:p>
    <w:p>
      <w:r>
        <w:rPr>
          <w:b/>
        </w:rPr>
        <w:t>E. 1.7</w:t>
      </w:r>
    </w:p>
    <w:p>
      <w:r>
        <w:t>Auf die Beschwerde ist somit einzutreten.</w:t>
      </w:r>
    </w:p>
    <w:p>
      <w:r>
        <w:rPr>
          <w:b/>
        </w:rPr>
        <w:t>E. 2</w:t>
      </w:r>
    </w:p>
    <w:p>
      <w:r>
        <w:t>Sie braucht die Parteien nicht anzuhören vor: a) Zwischenverfügungen, die nicht selbständig durch Beschwerde anfechtbar sind; b) Verfügungen, die durch Einsprache anfechtbar sind; c) Verfügungen, in denen die Behörde den Begehren der Parteien voll entspricht; d) Vollstreckungsverfügungen; e) anderen Verfügungen in einem erstinstanzlichen Verfahren, wenn Gefahr im Verzuge ist, den Parteien die Beschwerde gegen die Verfügung zusteht und ihnen keine andere Bestimmung des Bundesrechts einen Anspruch auf vorgängige Anhörung gewährleistet. Nach dieser Bestimmung verlangt die Grundregel, dass die Behörde eine Partei anhört, bevor sie verfügt (Abs. 1). Indessen braucht sie eine Partei vor nicht selbständig anfechtbaren Verfügungen oder nach mit Einsprache anfechtbaren sowie begünstigenden und Vollstreckungsverfügungen nicht anzuhören (Abs. 2 lit. a-d). Nicht anzuhören braucht sie die Parteien zudem in erstinstanzlichen Verfahren bei anderen Verfügungen - soweit hier interessierend: selbständig anfechtbaren Zwischenentscheiden -, wenn Gefahr im Verzug ist, den Parteien die Beschwerde gegen die Verfügung zusteht und keine andere Bestimmung des Bundesrechts einen Anspruch auf vorherige Anhörung gewährleistet (Abs. 2 lit. e). Angesichts der Natur der Streitsache ist vorliegend davon auszugehen, dass beim Erlass der angefochtenen Verfügung Gefahr im Verzug lag. Wegen der Schwere der Untersuchungsmassnahmen ist überdies von einem nicht leicht wieder gut zu machenden Nachteil auszugehen. Des Weiteren sind keine Vorschriften des Bundesrechts ersichtlich, die den Anspruch auf vorherige Anhörung gewährleisten. Somit ist eine Verfügung ohne vorherige Anhörung der Parteien nur zulässig, wenn ihnen gegen die Verfügung die Beschwerde zusteht. Das muss auch hier gelten. An der letztmals mit Entscheid des BVGer vom 19. September 2008 (B-5839/2008) bestätigten Praxis ist demnach nicht festzuhalten. Unter Vorbehalt der nachfolgenden Ausführungen ist daher grundsätzlich auf die Beschwerde einzutreten (a.M. Patrick Sutter, in: Auer/Müller /Schindler [Hrsg.]: Kommentar zum Bundesgesetz über das Verwaltungsverfahren, Zürich/St. Gallen 2008, Fussnote 76 zu Art 30, sowie Alfred Kölz/Isabelle Häner, Verwaltungsverfahren und Verwaltungsrechtspflege des Bundes, Zürich 1998, S. 122 Rz. 337, welche aber auf die Änderung der entsprechenden Gesetzesbestimmung nicht näher eingehen).</w:t>
      </w:r>
    </w:p>
    <w:p>
      <w:r>
        <w:rPr>
          <w:b/>
        </w:rPr>
        <w:t>E. 2.1</w:t>
      </w:r>
    </w:p>
    <w:p>
      <w:r>
        <w:t>Gemäss Art. 1 Abs. 2 des Bundesgesetzes vom 8. November 1934 über die Banken und Sparkassen (BankG, SR 952.0) dürfen natürliche und juristische Personen, die nicht dem BankG unterstehen, keine Publikumseinlagen gewerbsmässig entgegennehmen. Gewebsmässig handelt, wer dauernd mehr als 20 Publikumseinlagen entgegennimmt (Art. 3a Abs. 2 der Verordnung vom 17. Mai 1972 über die Banken und Sparkassen [BankV, SR 952.02]) oder wer sich öffentlich zur Entgegennahme von Publikumseinlagen empfiehlt, selbst wenn daraus weniger als 20 Einlagen resultieren (FINMA-RS 08/3, N 9; EBK-Bulletin 32, S. 58 E. 3c; BGE 2A.51/2007 vom 5. Juni 2007, E. 3a). Liegen hinreichend konkrete Anhaltspunkte vor, dass eine bewilligungspflichtige Geschäftstätigkeit ohne entsprechende Bewilligung der FINMA ausgeübt werden könnte, ist die FINMA befugt und verpflichtet, die zur weiteren Abklärung erforderlichen Informationen einzuholen und die nötigen Anordnungen zu treffen. Gestützt auf Art. 36 FINMAG kann die FINMA unter anderem eine unabhängige und fachkundige Person damit beauftragen, einen aufsichtsrechtlich relevanten Sachverhalt abzuklären oder von ihr angeordnete rechtliche Massnahmen umzusetzen. Zur Einsetzung eines Untersuchungsbeauftragten ist dabei nicht erforderlich, dass eine bestimmte Gesetzesverletzung bereits feststünde; vielmehr genügt es, dass hierfür objektive Anhaltspunkte bestehen, wobei sich der Sachverhalt nur durch eine Kontrolle vor Ort abschliessend klären lässt. Der zu beseitigende Missstand im Sinne von Art. 36 FINMAG liegt hier in der unklaren Ausgangslage, die es zu bereinigen gilt (Urteil 2A.575/2004 des Bundesgerichts vom 13. April 2005, E. 3.2).</w:t>
      </w:r>
    </w:p>
    <w:p>
      <w:r>
        <w:rPr>
          <w:b/>
        </w:rPr>
        <w:t>E. 2.2.1</w:t>
      </w:r>
    </w:p>
    <w:p>
      <w:r>
        <w:t>Vor Erlass der angefochtenen Verfügung vom 30. März 2009 lagen der Vorinstanz Angaben vor, dass die Gruppe Y.______ Gelder über die D.______Ltd. entgegenehme und auf ein gemeinschaftliches, bei der HSBC London und im Namen der D.______Ltd. geführtes Konto einbezahle. Aufgrund der ersten Abklärungen, die in den Akten eine Bestätigung finden, gelangte die Vorinstanz zum Schluss, dass die Gruppe Y.______ unerlaubt gewerbsmässig Publikumseinlagen entgegennehme. Sie ging von rund 1700 Anlegern aus (A01 131). Aufgrund der Akten ist von Kundeneinlagen am 29. August 2008 in der Höhe von EUR 4'378'115.52 auszugehen (A01 124). Den Investoren wurden mutmasslich verschiedene Anlagemöglichkeiten angeboten. Sie konnten sich im Rahmen eines Joint-Venture-Vertrags am Handel mit USD/EUR Wechselkursen und Dax Futures beteiligen (A01 046) und/oder Gelder im Rahmen von "Day-Trading-Programmen" anlegen, bei welchen Renditen bis zu 500% versprochen wurden (B01 172-185). Soweit die Beschwerdeführerinnen nun geltend machen, die in Ziff. 7 der provisorischen Verfügung erwähnten Anlagevarianten seien nicht betrieben worden, widerspricht dies offensichtlich den im heutigen Zeitpunkt aktenkundigen Tatsachen (A01 046, B01 172-185). Ob die Beschwerdeführerinnen zusätzlich Darlehen mit Niedrigzinsen gewährt haben, kann offen bleiben, da sich durch den Untersuchungsbericht der Verdacht erhärtet hat, dass die Beschwerdeführerinnen unerlaubt gewerbsmässig Publikumseinlagen entgegengenommen haben (vgl. dazu unten Erw. 2.2.2). Aus dem gleichen Grund ist - jedenfalls bei summarischer Beurteilung - nicht massgebend, ob die Verkaufsveranstaltungen regelmässig oder nur auf Wunsch der Kunden durchgeführt wurden und ob die D.______Ltd. in Konkurs ist oder nicht. Nachdem die Beschwerdeführerinnen trotz mehrfacher Aufforderung der Untersuchungsbeauftragten, die Absicherung der investierten Gelder zu belegen, nicht nachkamen, scheint der Schluss der Vorinstanz, dass keinerlei Absicherung der Kundengelder besteht, jedenfalls aufgrund der heutigen Aktenlage nicht abwegig (D01 003). Die Vorinstanz stützte ihre, die Beschwerdeführerinnen belastenden Angaben u.a. auch auf Angaben, die der vormalige Rechtsvertreter der Beschwerdeführerinnen 1, 3 und 4 gegenüber der Vorinstanz gemacht hat, so dass der Einwand, ehemalige Mitarbeiter würden die Gruppe Y.______ verunglimpfen, wohl nur sehr beschränkt richtig sein kann.</w:t>
      </w:r>
    </w:p>
    <w:p>
      <w:r>
        <w:rPr>
          <w:b/>
        </w:rPr>
        <w:t>E. 2.2.2</w:t>
      </w:r>
    </w:p>
    <w:p>
      <w:r>
        <w:t>Der Untersuchungsbericht der Z.______ vom 30. April 2009 erhärtet den Verdacht, dass die Beschwerdeführerinnen unerlaubt Publikumseinlagen entgegengenommen haben. Der Befund über superprovisorisch erlassene vorsorgliche Massnahmen erfolgt nach einer sog. prima facie-Beurteilung aufgrund der Akten. Die materiellen Vorbringen der Beschwerdeführerinnen sind eher knapp gehalten, durch keine Belege erhärtet und gestatten damit zur Zeit nicht, den einlässlich begründeten und sich bei einer prima facie-Beurteilung an die (höchst-) richterliche Praxis haltenden Entscheid umzustossen. Die Beschwerde, mit welcher die Aufhebung der vorsorglich angeordneten Massnahmen verlangt wird, erweist sich daher als unbegründet und ist abzuweisen.</w:t>
      </w:r>
    </w:p>
    <w:p>
      <w:r>
        <w:rPr>
          <w:b/>
        </w:rPr>
        <w:t>E. 3</w:t>
      </w:r>
    </w:p>
    <w:p>
      <w:r>
        <w:t>Bei diesem Ausgang des Verfahrens haben die Beschwerdeführerinnen die Verfahrenskosten zu tragen (Art. 63 Abs. 1 VwVG) und es steht ihnen keine Parteieentschädigung zu (Art. 64 Abs. 1 VwVG und Art. 7 Abs. 1 des Reglements vom 21. Februar 2008 über die Kosten und Entschädigungen vor dem Bundesverwaltungsgericht [VGKE, SR 173.320.2]). Die Verfahrenskosten sind angesichts der Schwierigkeit und der in Frage stehenden Vermögensinteressen (unter solidarischer Haftung für die Beschwerdeführerinnen) auf Fr. 2'000.- zu veranschlagen. Sie werden mit dem in gleicher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