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B-261/2020 vom 6. Mai 2024</w:t>
      </w:r>
    </w:p>
    <w:p>
      <w:r>
        <w:t>Bundesverwaltungsgericht, 2024-05-06, DE</w:t>
      </w:r>
    </w:p>
    <w:p>
      <w:r>
        <w:rPr>
          <w:b/>
        </w:rPr>
        <w:t xml:space="preserve">Quelle: </w:t>
      </w:r>
      <w:r>
        <w:t>https://mcp.opencaselaw.ch/entscheid/bvger_B-261_2020_d20240506</w:t>
      </w:r>
    </w:p>
    <w:p>
      <w:r>
        <w:t>FR: TAF B-261/2020 du 6 mai 2024</w:t>
      </w:r>
    </w:p>
    <w:p>
      <w:r>
        <w:t>IT: TAF B-261/2020 del 6 maggio 2024</w:t>
      </w:r>
    </w:p>
    <w:p>
      <w:pPr>
        <w:pStyle w:val="Heading2"/>
      </w:pPr>
      <w:r>
        <w:t>Erwägungen</w:t>
      </w:r>
    </w:p>
    <w:p>
      <w:r>
        <w:rPr>
          <w:b/>
        </w:rPr>
        <w:t>E. 1.1</w:t>
      </w:r>
    </w:p>
    <w:p>
      <w:r>
        <w:t>L'art. 44 al. 1 LTAF prescrit que, lorsque le Tribunal administratif fédéral statue en tant que première instance, la procédure est régie par les art. 3 à 73 et 79 à 85 de la loi fédérale du 4 décembre 1947 sur la procédure civile fédéral (PCF, RS 273). Le Tribunal administratif fédéral examine la recevabilité de l'action et de tous les actes de procédure (art. 3 al. 1 PCF).</w:t>
      </w:r>
    </w:p>
    <w:p>
      <w:r>
        <w:rPr>
          <w:b/>
        </w:rPr>
        <w:t>E. 1.2</w:t>
      </w:r>
    </w:p>
    <w:p>
      <w:r>
        <w:t>En vertu de l'art. 35 let. d LTAF, le Tribunal administratif fédéral connaît par voie d'action en première instance des demandes de confiscation de valeurs patrimoniales conformément à la LVP. En application de l'art. 14 al. 1 LVP, le Conseil fédéral a chargé le Département fédéral des finances (DFF) d'ouvrir devant le Tribunal administratif fédéral une action en confiscation des valeurs patrimoniales bloquées. Le Tribunal administratif fédéral est dès lors compétent pour statuer sur la présente action.</w:t>
      </w:r>
    </w:p>
    <w:p>
      <w:r>
        <w:rPr>
          <w:b/>
        </w:rPr>
        <w:t>E. 1.3</w:t>
      </w:r>
    </w:p>
    <w:p>
      <w:r>
        <w:t>Les autres conditions de recevabilité de l'action sont en outre respectées (art. 18 al. 1 et 23 PCF).</w:t>
      </w:r>
    </w:p>
    <w:p>
      <w:r>
        <w:rPr>
          <w:b/>
        </w:rPr>
        <w:t>E. 1.4</w:t>
      </w:r>
    </w:p>
    <w:p>
      <w:r>
        <w:t>La présente action est ainsi recevable.</w:t>
      </w:r>
    </w:p>
    <w:p>
      <w:r>
        <w:rPr>
          <w:b/>
        </w:rPr>
        <w:t>E. 2</w:t>
      </w:r>
    </w:p>
    <w:p>
      <w:r>
        <w:t>Compte tenu des informations fournies à ce stade par Me Moreillon, il convient de le considérer comme le mandataire des défenderesses, sous réserve de la production ultérieure des documents encore requis s'agissant de la défenderesse 1.</w:t>
      </w:r>
    </w:p>
    <w:p>
      <w:r>
        <w:rPr>
          <w:b/>
        </w:rPr>
        <w:t>E. 3</w:t>
      </w:r>
    </w:p>
    <w:p>
      <w:r>
        <w:t>En vertu de l'art. 6 al. 2 PCF, le procès est suspendu de plein droit dans les cas spécialement prévus par la loi, ainsi que lors du décès d'une partie. Dans ce dernier cas, le juge ordonne la reprise du procès dès que la succession ne peut plus être répudiée ou que la liquidation officielle a été instituée, la reprise anticipée de procès urgents par le représentant de la succession étant réservée (art. 6 al. 3 PCF). Il n'y a, in casu, cependant pas lieu de se pencher plus avant sur la réalisation du motif de suspension prévu à l'art. 6 al. 2 PCF pour les motifs exposés ci-après.</w:t>
      </w:r>
    </w:p>
    <w:p>
      <w:r>
        <w:rPr>
          <w:b/>
        </w:rPr>
        <w:t>E. 4</w:t>
      </w:r>
    </w:p>
    <w:p>
      <w:r>
        <w:t>L'action ouverte par le DFF conformément à l'art. 14 al. 1 LVP est dirigée contre A._______ SA et B._______.</w:t>
      </w:r>
    </w:p>
    <w:p>
      <w:r>
        <w:rPr>
          <w:b/>
        </w:rPr>
        <w:t>E. 4.1.1</w:t>
      </w:r>
    </w:p>
    <w:p>
      <w:r>
        <w:t>La qualité pour agir (ou légitimation active) et pour défendre (ou légitimation passive) appartiennent aux conditions matérielles de la prétention litigieuse, lesquelles se déterminent selon le droit au fond et dont le défaut conduit au rejet de l'action (cf. ATF 138 III 537 consid. 2.2.1 ; 125 III 82 consid. 1a ;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(cf. arrêts du TF 5A_398/2017 du 28 août 2017 consid. 4.1.3 ; 4A_560/2015 du 20 mai 2016 consid. 4.1.1 ; 9C_14/2010 du 21 mai 2010 consid. 3.1 publié in SVR (47) 2010 p. 178).</w:t>
      </w:r>
    </w:p>
    <w:p>
      <w:r>
        <w:rPr>
          <w:b/>
        </w:rPr>
        <w:t>E. 4.1.2</w:t>
      </w:r>
    </w:p>
    <w:p>
      <w:r>
        <w:t>La décision de confiscation rendue en application des art. 14 ss LVP présuppose le respect de trois conditions cumulatives fixées à l'art. 14 al. 2 LVP : les valeurs patrimoniales concernées sont soumises au pouvoir de disposition d'une personne politiquement exposée à l'étranger ou d'un proche, ou dont ces personnes sont les ayants droit économiques (let. a) ; elles sont d'origine illicite (let. b) et ont été bloquées par le Conseil fédéral en prévision d'une confiscation, en vertu de l'art. 4 (let. c). Compte tenu des art. 3 al. 1 let. c et 4 al. 1 let. c LVP, il convient d'admettre que les valeurs patrimoniales de personnes morales peuvent aussi être confisquées si les conditions énoncées aux art. 14 ss sont remplies (cf. Message du 21 mai 2014 relatif à la loi sur les valeurs patrimoniales d'origine illicite, FF 2014 5121, 5179). La notion de pouvoir de disposition - apparaissant déjà aux art. 3 al. 1 let. c ch. 1 et 4 al. 1 let. c ch. 1 - est intentionnellement formulée de manière ouverte car le projet de loi vise aussi des formes indirectes du pouvoir de disposition (cf. ibidem). La notion de pouvoir de disposition se base sur la même définition que celle déjà contenue dans la LRAI. En conséquence, le « pouvoir de disposition » a la même signification que dans les dispositions du CP sur la confiscation de valeurs patrimoniales d'une organisation criminelle ; il est également étroitement lié à la notion de « maîtrise effective », soit la volonté de posséder une chose en fonction des possibilités effectives données. Cette notion s'applique par exemple à l'ayant droit économique au sens de la LBA (RS 955.0) qui, sous une forme ou une autre (par le biais d'une procuration, d'un trust ou d'un homme de paille par exemple), a accès à un compte bancaire dont il n'est pas le titulaire, et ce même s'il n'exerce son pouvoir de disposition que de manière indirecte. Dans cette perspective, la notion de pouvoir de disposition s'entend au sens large ; toutes les relations possibles d'une personne, y compris d'une personne morale, avec les valeurs patrimoniales visées sont couvertes (cf. FF 2014 5121, 5152 ; voir aussi Message du 28 avril 2010 relatif à la loi fédérale sur la restitution des valeurs patrimoniales d'origine illicite de personnes politiquement exposées [Loi sur la restitution des avoirs illicites, LRAI], FF 2010 2995, 3014). Il découle de ces éléments que la LVP renseigne sur les liens entre les personnes politiquement exposées et les biens susceptibles de se voir confisqués, notamment qui appartiennent à une personne morale. Cela ne permet toutefois pas encore de trancher la question distincte de la qualité pour défendre sur laquelle les dispositions de la LVP restent muettes.</w:t>
      </w:r>
    </w:p>
    <w:p>
      <w:r>
        <w:rPr>
          <w:b/>
        </w:rPr>
        <w:t>E. 4.1.3</w:t>
      </w:r>
    </w:p>
    <w:p>
      <w:r>
        <w:t>Lorsqu'une personne physique politiquement exposée à l'étranger ou les personnes physiques qui lui sont proches exercent le contrôle sur des valeurs patrimoniales d'une personne morale, notamment en qualité d'ayant droit économique, lesdites valeurs n'en sont pas moins, formellement, la propriété de la personne morale (cf. Message LVP, FF 2014 5121, 5148). L'ayant droit économique n'exerce en effet son pouvoir de disposition que de manière indirecte, ne se trouvant donc concerné par la mesure de confiscation également que de manière indirecte (cf. Message LVP, FF 2014 5121, 5153 et 5184). Or, la procédure de confiscation tend en fin de compte logiquement au transfert de la propriété des valeurs patrimoniales en cause à la Confédération en vue de leur restitution ultérieure (cf. Message LVP, FF 2014 5121, 5179). Dans ces conditions, la qualité pour défendre dans le cadre d'une action en confiscation ne peut revenir par principe qu'au propriétaire des valeurs patrimoniales visées.</w:t>
      </w:r>
    </w:p>
    <w:p>
      <w:r>
        <w:rPr>
          <w:b/>
        </w:rPr>
        <w:t>E. 4.1.4</w:t>
      </w:r>
    </w:p>
    <w:p>
      <w:r>
        <w:t>Par voie de conséquence, à l'instar de ce qui est admis par la jurisprudence bien établie en matière d'entraide niant la qualité pour recourir de l'ayant droit économique faute pour lui d'être directement touché par une mesure visant les avoirs de la personne morale (cf. ATF 139 II 404 consid. 2.1.1 ; arrêt du TAF B-5905/2012 consid. 1.2 ; voir aussi ATAF 2013/40 consid. 3.3.4), il faut considérer que l'ayant droit économique ne peut se voir reconnaître la qualité pour défendre dans le cadre d'une action en confiscation.</w:t>
      </w:r>
    </w:p>
    <w:p>
      <w:r>
        <w:rPr>
          <w:b/>
        </w:rPr>
        <w:t>E. 4.2</w:t>
      </w:r>
    </w:p>
    <w:p>
      <w:r>
        <w:t>En l'espèce, B._______ se présentait comme l'ayant droit économique de la défenderesse 1 ; elle bénéficiait de ce fait d'un pouvoir de disposition tel que défini ci-dessus (cf. supra consid. 3.1.2) sur les avoirs de la défenderesse 1 déposés sur le compte n° (...) auprès de E._______ SA, lesquels ont été gelés par décision du Conseil fédéral du 10 octobre 2012 confirmée par le Tribunal administratif fédéral. Seule la défenderesse 1 est en revanche la propriétaire formelle de ces avoirs. Dès lors que ladite procédure vise en fin de compte le transfert de la propriété des valeurs patrimoniales à la Confédération suisse, l'action en confiscation ne peut viser que la défenderesse 1.</w:t>
      </w:r>
    </w:p>
    <w:p>
      <w:r>
        <w:rPr>
          <w:b/>
        </w:rPr>
        <w:t>E. 4.3</w:t>
      </w:r>
    </w:p>
    <w:p>
      <w:r>
        <w:t>Sur le vu de ce qui précède, force est de reconnaître que l'action déposée par le DFF en date du 13 janvier 2020 doit, pour ce motif déjà, être rejetée en tant qu'elle a été formulée à l'encontre de B._______ et, partant, des personnes appelées à lui succéder dans le cadre de la procédure.</w:t>
      </w:r>
    </w:p>
    <w:p>
      <w:r>
        <w:rPr>
          <w:b/>
        </w:rPr>
        <w:t>E. 5</w:t>
      </w:r>
    </w:p>
    <w:p>
      <w:r>
        <w:t>À teneur de l'art. 44 LTAF, lorsque le Tribunal administratif fédéral statue en première instance dans une procédure régie par la PCF, l'attribution des frais et des dépens est réglée par les art. 63 à 65 PA. Selon l'art. 63 al. 1 PA, en règle générale, les frais de procédure sont mis à la charge de la partie qui succombe. Aucun frais de procédure n'est toutefois mis à la charge des autorités inférieures, ni des autorités fédérales recourantes et déboutées (art. 63 al. 3, 1ère phrase, PA). La présente procédure n'ayant pas occasionné de frais relativement élevés à la défenderesse 2, il n'y a pas lieu de lui allouer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