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B-2616/2024 vom 27. Februar 2025</w:t>
      </w:r>
    </w:p>
    <w:p>
      <w:r>
        <w:t>Bundesverwaltungsgericht, 2025-02-27, DE</w:t>
      </w:r>
    </w:p>
    <w:p>
      <w:r>
        <w:rPr>
          <w:b/>
        </w:rPr>
        <w:t xml:space="preserve">Quelle: </w:t>
      </w:r>
      <w:r>
        <w:t>https://mcp.opencaselaw.ch/entscheid/bvger_B-2616_2024</w:t>
      </w:r>
    </w:p>
    <w:p>
      <w:r>
        <w:t>FR: TAF B-2616/2024 du 27 février 2025</w:t>
      </w:r>
    </w:p>
    <w:p>
      <w:r>
        <w:t>IT: TAF B-2616/2024 del 27 febbraio 2025</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 der angefochtenen Verfügung ist der Beschwerdeführer zur Beschwerde legitimiert (Art. 48 Abs. 1 VwVG). Auf die Beschwerde ist daher einzutreten.</w:t>
      </w:r>
    </w:p>
    <w:p>
      <w:r>
        <w:rPr>
          <w:b/>
        </w:rPr>
        <w:t>E. 2</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BV; Urteile des BVGer B-6055/2023 vom 20. Juni 2024 E. 2; B-1130/2023 vom 27. Februar 2024 E. 3.1.1 m.w.H.). Die Bundesbeiträge sollen überdies zur Deckung des Fachkräftebedarfs (Fachkräfteinitiative) beitragen (Urteil des BVGer B-574/2022 vom 1. Dezember 2022 E. 2.2).</w:t>
      </w:r>
    </w:p>
    <w:p>
      <w:r>
        <w:rPr>
          <w:b/>
        </w:rPr>
        <w:t>E. 2.1</w:t>
      </w:r>
    </w:p>
    <w:p>
      <w:r>
        <w:t>Die Vorinstanz richtet Beiträge aus, wenn sechs Anspruchsvoraussetzungen erfüllt sind (Art. 56a BBG i.V.m. Art. 66c Abs. 1 Bst. a bis f der Verordnung vom 19. November 2003 über die Berufsbildung [BBV, SR 412.101]; Urteile des BVGer B-574/2022 vom 1. Dezember 2022 E. 2.3; B-2491/ 2021 vom 24. August 2021 E. 2.1). Unter anderem muss eine vom Anbieter des vorbereitenden Kurses ausgestellte Bestätigung über die von der Absolventin oder dem Absolventen bezahlten, anrechenbaren Kursgebühren vorliegen, welche nicht bereits im Rahmen eines anderen Kostengesuchs eingereicht wurde (Art. 66c Abs. 1 Bst. d BBV), und das Gesuch muss innerhalb von zwei Jahren nach Eröffnung der Verfügung über das Bestehen oder Nichtbestehen der eidgenössischen Berufsprüfung oder der eidgenössischen höheren Fachprüfung (Prüfungsverfügung) eingereicht worden sein (Art. 66c Abs. 1 Bst. f BBV).</w:t>
      </w:r>
    </w:p>
    <w:p>
      <w:r>
        <w:rPr>
          <w:b/>
        </w:rPr>
        <w:t>E. 2.2</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(Urteile des BVGer B-6055/2023 vom 20. Juni 2024 E. 2.2; B-1130/2023 vom 27. Februar 2024 E. 3.2).</w:t>
      </w:r>
    </w:p>
    <w:p>
      <w:r>
        <w:rPr>
          <w:b/>
        </w:rPr>
        <w:t>E. 2.2.1</w:t>
      </w:r>
    </w:p>
    <w:p>
      <w:r>
        <w:t>Verwirkungsfristen greifen stark in die Rechtsstellung der Betroffenen ein (Ulrich Häfelin/ Georg Müller/ Felix Uhlmann, Allgemeines Verwaltungsrecht, 8. Aufl. 2020, N. 783). Sie müssen deshalb grundsätzlich in einem formellen Gesetz vorgesehen oder zumindest umrissen werden (Urteile des BGer 1C_41/2017 und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bzw.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2.2.2</w:t>
      </w:r>
    </w:p>
    <w:p>
      <w:r>
        <w:t>Das übergeordnete Recht gilt als eingehalten, wenn sich unselbständige Verordnungen auf eine gesetzliche Delegation stützen (Art. 164 Abs. 2 BV; BGE 144 II 454 E. 3.2; 143 II 87 E. 4.4). Das Gericht kann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Urteile des BVGer B-6055/2023 vom 20. Juni 2024 E. 2.2.2; B-1130/2023 vom 27. Februar 2024 E. 3.2.1 f.).</w:t>
      </w:r>
    </w:p>
    <w:p>
      <w:r>
        <w:rPr>
          <w:b/>
        </w:rPr>
        <w:t>E. 2.3</w:t>
      </w:r>
    </w:p>
    <w:p>
      <w:r>
        <w:t>Wie das Bundesverwaltungsgericht bereits festgestellt hat, legt der Bundesrat die "Voraussetzungen für die Beitragsberechtigung [...]" an die Kosten von Vorbereitungskursen eidgenössischer Berufs- und höherer Fachprüfungen fest (Art. 56a Abs. 3 BBG), womit der Gesetzgeber es in weiten Teilen dem Bundesrat überlassen hat, die Anspruchsvoraussetzungen zu regeln, und dieser kompetenzgemäss auch auf dem Verordnungsweg eine Frist vorsehen kann. Der gesetzlich eingeräumte Spielraum ist gestützt auf Art. 190 BV zu respektieren (Urteile des BVGer B-6055/2023 vom 20. Juni 2024 E. 2.3; B-1130/2023 vom 27. Februar 2024 E. 4.1).</w:t>
      </w:r>
    </w:p>
    <w:p>
      <w:r>
        <w:rPr>
          <w:b/>
        </w:rPr>
        <w:t>E. 2.4</w:t>
      </w:r>
    </w:p>
    <w:p>
      <w:r>
        <w:t>Auf Verordnungsebene lässt die zweijährige Frist als Wenn-Dann-Bestimmung keinen Raum für Ausnahmen (vgl. Wortlaut von Art. 66c Abs. 1 Bst. f BBV; Urteile des BVGer B-6055/2023 vom 20. Juni 2024 E. 2.4; B-1130/ 2023 vom 27. Februar 2024 E. 4.1; B-2491/2021 vom 24. August 2021 E. 2.4), auch nicht bei geringfügigen Überschreitungen der Frist, wie der Beschwerdeführer sinngemäss argumentiert. Entsprechend wird in den Verordnungsmaterialien festgehalten: "Die Berechtigung zur Gesuchstellung erlischt 2 Jahre nach Absolvierung der eidgenössischen Prüfung [...]." (Eidgenössisches Departement für Wirtschaft, Bildung, Forschung WBF, Änderung der Verordnung über die Berufsbildung [BBV]: Stärkung der höheren Berufsbildung, Erläuternder Bericht, 2017, S. 4). Diese Befristung ist mit dem Gesetzeszweck - insbesondere um Rechtssicherheit zu schaffen - vereinbar. Sie ist mit ihrer Dauer von zwei Jahren seit Eröffnung der Prüfungsverfügung nicht gesetzeswidrig, und verhindert oder erschwert den Anspruch auf die gesetzlich vorgesehene Beitragsansprüche nicht übermässig.</w:t>
      </w:r>
    </w:p>
    <w:p>
      <w:r>
        <w:rPr>
          <w:b/>
        </w:rPr>
        <w:t>E. 2.5</w:t>
      </w:r>
    </w:p>
    <w:p>
      <w:r>
        <w:t>Eine Pflicht, den Beschwerdeführer auf die Frist hinzuweisen, besteht nach der Verordnungsregelung - entgegen seiner Auffassung - weder bei der Prüfungsbehörde noch bei der Vorinstanz. Der Antrag auf Teilbeträge ist freiwillig (Art. 66a Abs. 3 BBV) und die Einhaltung der Frist Sache des Antragstellers.</w:t>
      </w:r>
    </w:p>
    <w:p>
      <w:r>
        <w:rPr>
          <w:b/>
        </w:rPr>
        <w:t>E. 3.1</w:t>
      </w:r>
    </w:p>
    <w:p>
      <w:r>
        <w:t>Vorliegend wurde die auf den 9. Juli 2021 datierte Prüfungsverfügung dem Beschwerdeführer am 10. Juli 2021 eröffnet. Die zweijährige Frist lief somit im Juli 2023 ab. Der Beschwerdeführer reichte sein Beitragsgesuch unbestrittenermassen am 19. Januar 2024 ein.</w:t>
      </w:r>
    </w:p>
    <w:p>
      <w:r>
        <w:rPr>
          <w:b/>
        </w:rPr>
        <w:t>E. 3.2</w:t>
      </w:r>
    </w:p>
    <w:p>
      <w:r>
        <w:t>Daraus folgt, dass die Anspruchsvoraussetzung von Art. 66c Abs. 1 Bst. f BBV nicht erfüllt ist. Als eine Wenn-Dann-Formulierung lässt die Bestimmung keinen Raum für Ausnahmen.</w:t>
      </w:r>
    </w:p>
    <w:p>
      <w:r>
        <w:rPr>
          <w:b/>
        </w:rPr>
        <w:t>E. 4</w:t>
      </w:r>
    </w:p>
    <w:p>
      <w:r>
        <w:t>Im Ergebnis hat der Beschwerdeführer in Bezug auf das Gesuch vom 19. Januar 2024 die Frist von Art. 66c Abs. 1 Bst. f BBV verpasst, weshalb er hierfür keinen Anspruch auf Bundesbeiträge hat. Eine Härtefallregelung, um allenfalls berücksichtigen zu können, dass der Beschwerdeführer den Bau eines neuen Rindviehstalls auf seinem Landwirtschaftsbetrieb plant, besteht nicht. Da der Beschwerdeführer auch keine Fristwiederherstellungsgründe gemäss Art. 24 Abs. 1 VwVG geltend macht und auch keine entschuldbaren Gründe aktenmässig ersichtlich sind, erweist sich die Beschwerde als unbegründet und ist folglich abzuweisen.</w:t>
      </w:r>
    </w:p>
    <w:p>
      <w:r>
        <w:rPr>
          <w:b/>
        </w:rPr>
        <w:t>E. 5</w:t>
      </w:r>
    </w:p>
    <w:p>
      <w:r>
        <w:t>Bei diesem Ausgang des Verfahrens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300.- festgesetzt (Art. 63 Abs. 4bis VwVG und Art. 2 Abs. 1 VGKE). Der vom Beschwerdeführer in gleicher Höhe geleistete Kostenvorschuss wird zur Begleichung dieser Verfahrenskosten verwendet. Dem unterliegenden Beschwerdeführer steht keine Parteientschädigung zu (Art. 64 Abs. 1 VwVG i.V.m. Art. 7 Abs. 1 VGKE e contrario). Der Vorinstanz ist als Bundesbehörde ebenfalls keine Parteientschädigung zuzusprechen (Art. 64 Abs. 1 VwVG i.V.m. Art. 7 Abs. 3 VGKE).</w:t>
      </w:r>
    </w:p>
    <w:p>
      <w:r>
        <w:rPr>
          <w:b/>
        </w:rPr>
        <w:t>E. 6</w:t>
      </w:r>
    </w:p>
    <w:p>
      <w:r>
        <w:t>Das vorliegende Urteil kann mit Beschwerde in öffentlich-rechtlichen Angelegenheiten beim Bundesgericht angefochten werden, sofern es sich bei den in Frage stehenden Subventionen um Anspruchssubventionen handelt (Art. 83 Bst. k des Bundesgesetzes vom 17. Juni 2005 über das Bundesgericht [Bundesgerichtsgesetz,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der Beschwerdeführer bei einer Anfechtung darzulegen. Das Bundesgericht hat die Frage bisher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