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B-2499/2015 vom 7. Juli 2015</w:t>
      </w:r>
    </w:p>
    <w:p>
      <w:r>
        <w:t>Bundesverwaltungsgericht, 2015-07-07, DE</w:t>
      </w:r>
    </w:p>
    <w:p>
      <w:r>
        <w:rPr>
          <w:b/>
        </w:rPr>
        <w:t xml:space="preserve">Quelle: </w:t>
      </w:r>
      <w:r>
        <w:t>https://mcp.opencaselaw.ch/entscheid/bvger_B-2499_2015</w:t>
      </w:r>
    </w:p>
    <w:p>
      <w:r>
        <w:t>FR: TAF B-2499/2015 du 7 juillet 2015</w:t>
      </w:r>
    </w:p>
    <w:p>
      <w:r>
        <w:t>IT: TAF B-2499/2015 del 7 luglio 2015</w:t>
      </w:r>
    </w:p>
    <w:p>
      <w:pPr>
        <w:pStyle w:val="Heading2"/>
      </w:pPr>
      <w:r>
        <w:t>Regeste</w:t>
      </w:r>
    </w:p>
    <w:p>
      <w:r>
        <w:t>Internationale Amtshilfe</w:t>
      </w:r>
    </w:p>
    <w:p>
      <w:pPr>
        <w:pStyle w:val="Heading2"/>
      </w:pPr>
      <w:r>
        <w:t>Erwägungen</w:t>
      </w:r>
    </w:p>
    <w:p>
      <w:r>
        <w:rPr>
          <w:b/>
        </w:rPr>
        <w:t>E. 1</w:t>
      </w:r>
    </w:p>
    <w:p>
      <w:r>
        <w:t>Beim angefochtenen Entscheid handelt es sich um eine Verfügung im Sinne von Art. 5 des Bundesgesetzes über das Verwaltungsverfahren vom 20. Dezember 1968 (VwVG, SR 172.021). Das Bundesverwaltungsgericht ist zuständig für die Beurteilung von Beschwerden gegen Amtshilfeverfügungen der Vorinstanz (Art. 38 Abs. 5 des Bundesgesetzes über die Börsen und den Effektenhandel vom 24. März 1995 [BEHG, SR 954.1] und Art. 31 in Verbindung mit Art. 33 Bst. e des Bundesgesetzes über das Bundesverwaltungsgericht vom 17. Juni 2005 [VGG, SR 173.32]). Die Beschwerdeführerin hat am vorinstanzlichen Verfahren teilgenommen, ist durch die angefochtene Verfügung besonders berührt und hat ein schutzwürdiges Interesse an deren Aufhebung oder Änderung (Art. 48 Abs. 1 Bst. a-c VwVG). Sie ist daher zur Beschwerde legitimiert. Die Eingabefrist sowie die Anforderungen an Form und Inhalt der Beschwerdeschrift sind gewahrt (Art. 38 Abs. 5 BEHG und Art. 52 Abs. 1 VwVG). Der Vertreter hat sich rechtsgenügend durch schriftliche Vollmacht ausgewiesen (Art. 11 VwVG), der Kostenvorschuss wurde fristgemäss geleistet (Art. 63 Abs. 4 VwVG) und die übrigen Sachurteilsvoraussetzungen liegen ebenfalls vor (Art. 46 ff. VwVG). Auf die Beschwerde ist einzutreten.</w:t>
      </w:r>
    </w:p>
    <w:p>
      <w:r>
        <w:rPr>
          <w:b/>
        </w:rPr>
        <w:t>E. 2</w:t>
      </w:r>
    </w:p>
    <w:p>
      <w:r>
        <w:t>Die Beschwerdeführerin rügt sinngemäss, dass kein ausreichender Anfangsverdacht für eine Marktmanipulation vorliege. Die tatbestandsrelevanten Merkmale eines "pump and dump"-Szenarios seien offensichtlich nicht gegeben, weshalb das Verhältnismässigkeitsprinzip verletzt sei.</w:t>
      </w:r>
    </w:p>
    <w:p>
      <w:r>
        <w:rPr>
          <w:b/>
        </w:rPr>
        <w:t>E. 2.1</w:t>
      </w:r>
    </w:p>
    <w:p>
      <w:r>
        <w:t>Gemäss Art. 38 Abs. 2 BEHG darf die Vorinstanz ausländischen Finanzmarktaufsichtsbehörden öffentlich nicht zugängliche Auskünfte und sachbezogene Unterlagen nur übermitteln, sofern diese Informationen ausschliesslich zur Durchsetzung von Regulierungen über Börsen, Effektenhandel und Effektenhändler verwendet oder zu diesem Zweck an andere Behörden, Gerichte oder Organe weitergeleitet werden (Bst. a; sog. Spezialitätsprinzip) und die ersuchenden Behörden an ein Amts- oder Berufsgeheimnis gebunden sind, wobei die Vorschriften über die Öffentlichkeit von Verfahren und die Orientierung der Öffentlichkeit über solche Verfahren vorbehalten bleiben (Bst. b; sog. Vertraulichkeitsprinzip). Nach ständiger Rechtsprechung des Bundesgerichts und des Bundesverwaltungsgerichts handelt es sich bei der SEC um eine ausländische Aufsichtsbehörde im Sinne von Art. 38 BEHG, der nach schweizerischem Recht grundsätzlich Amtshilfe geleistet werden kann (vgl. BGE 126 II 126 E. 6a/aa und E. 6c/cc; Urteile des BGer 2A.13/2007 vom 3. September 2007 E. 5.1; 2A.51/1999 vom 24. November 1999 E. 2b und 2c, i.S. "Equity Journal", in: EBK-Bulletin 40/2000, S. 116; Urteil des BVGerB-5297/2008 vom 5. November 2008 E. 4.1). Die SEC ist Vollmitglied (A-Signatar) des IOSCO-MMoU, weshalb davon ausgegangen werden darf, dass sie die Anforderungen an die Spezialität (Art. 10 IOSCO-MMoU) und Vertraulichkeit (Art. 11 IOSCO-MMoU) der übermittelten Informationen einhält (vgl. BVGE 2011/14 E. 4; Urteile des BVGer B-1251/2014 vom 15. Mai 2014 E. 2.2; B-5469/2010 vom 7. Dezember 2010 E. 3.2 und 4.2.2).</w:t>
      </w:r>
    </w:p>
    <w:p>
      <w:r>
        <w:rPr>
          <w:b/>
        </w:rPr>
        <w:t>E. 2.2</w:t>
      </w:r>
    </w:p>
    <w:p>
      <w:r>
        <w:t>Wie jedes staatliche Handeln muss auch die Amtshilfe verhältnismässig sein (BGE 125 II 65 E. 6a). Nach der Rechtsprechung des Bundesgerichts und des Bundesverwaltungsgerichts zur internationalen Amts- und Rechtshilfe wird das Erfordernis der Verhältnismässigkeit insbesondere durch die Pflicht, nur sachbezogene, d.h. für die Abklärung des in Frage stehenden Verdachts potentiell relevante Informationen zu übermitteln, konkretisiert (vgl. BGE 126 II 126 E. 5 b/aa; Ulrich Häfelin/Georg Müller/Felix Uhlmann, Allgemeines Verwaltungsrecht, 6. Aufl., 2010, Rz. 592). Die internationale Amtshilfe kann immer dann verweigert werden, wenn die ersuchten Akten in keinem angemessenen Verhältnis zu und mit der verfolgten Tat stehen und offensichtlich nicht tauglich sind, die ausländische Untersuchung zu fördern, so dass das Ersuchen selbst als eine unbestimmte und demzufolge unverhältnismässige Beweisausforschung bzw. fishing expedition erscheint (vgl. BVGE 2011/14 E. 5.2.2.1, mit weiteren Hinweisen; Urteil des BVGer B-7550/2014 vom 30. April 2015 E. 6.3 [zur Publikation vorgesehen]). Erforderlich ist daher, dass in einem Amtshilfegesuch in Börsensachen ein hinreichender Anfangsverdacht für das Vorliegen eines Verstosses gegen das Aufsichtsrecht dargetan wird. Die Anforderungen an die Darstellung des Anfangsverdachts sind dabei nicht allzu hoch. Es reicht aus, wenn in diesem Stadium erst Indizien oder abstrakte Hinweise auf eine mögliche Verletzung börsenrechtlicher Vorschriften bestehen, sofern diese im Gesuch schlüssig und nachvollziehbar dargetan werden (vgl. BGE 126 II 409 E. 5a; BGE 125 II 65 E. 6b; Urteil des BGer 2A.154/2003 vom 26. August 2003 E. 4.2.1; BVGE 2010/26 E. 5.1; Urteil des BVGerB-2980/2007 vom 26. Juli 2007 E. 5.1). Konkrete schriftliche Beweismittel sind darüber hinaus nicht vorzulegen; es reicht aus, dass die Sachverhaltsschilderung der ersuchenden Behörde nachvollziehbar ist und nicht offensichtliche Fehler, Lücken oder Widersprüche aufweist (vgl. BVGE 2010/26 E. 5.1; BVGE 2007/28 E. 6.2; Urteil des BVGer B-3703/2009 vom 3. August 2009 E. 41).</w:t>
      </w:r>
    </w:p>
    <w:p>
      <w:r>
        <w:rPr>
          <w:b/>
        </w:rPr>
        <w:t>E. 2.3</w:t>
      </w:r>
    </w:p>
    <w:p>
      <w:r>
        <w:t>In ihrem Amtshilfegesuch vom 1. Oktober 2013 äusserte die SEC den Verdacht auf eine Marktmanipulation in der Form eines "pump and dump"-Szenarios mit J._______-Aktien. Sie begründete ihr Amtshilfegesuch mit einer detaillierten Schilderung der Umstände, die zu ihrem Verdacht geführt hätten. Insbesondere legte sie den zeitlichen Zusammenhang zwischen den verschiedenen anpreisenden E-Mails und Einträgen auf Finanzwebseiten einerseits und dem ungewöhnlichen Anstieg des bisher sehr geringen Transaktionsvolumens der J._______-Aktien andererseits und den in diese Phase fallenden Transaktionen der Beschwerdeführerin mit den J._______-Aktien dar. Sie benannte auch die konkret benötigten Informationen und erwähnte die allenfalls zur Anwendung kommenden rechtlichen Grundlagen, nämlich Sections 5(a), 5(c), 17(a) und 17(c) des Securities Act von 1933 und Section 10(b) des Securities Exchange Act von 1934 sowie Rule 10b-5 hiervon.</w:t>
      </w:r>
    </w:p>
    <w:p>
      <w:r>
        <w:rPr>
          <w:b/>
        </w:rPr>
        <w:t>E. 2.4</w:t>
      </w:r>
    </w:p>
    <w:p>
      <w:r>
        <w:t>Ein wichtiges Element der internationalen Behördenzusammenarbeit bildet der Grundsatz, wonach - ausser bei offenbarem Rechtsmissbrauch oder bei berechtigten Fragen im Zusammenhang mit dem Schutz des schweizerischen oder internationalen ordre public - grundsätzlich kein Anlass besteht, an der Richtigkeit der Sachverhaltsdarstellung oder an der Einhaltung von Erklärungen anderer Staaten zu zweifeln (sog. völkerrechtliches Vertrauensprinzip; vgl. BGE 128 II 407 E. 3.2, 4.3.1 und 4.3.3; 126 II 409 E. 4; Urteil des BGer 2A.153/2003 vom 26. August 2003 E. 3.1; BVGE 2011/14 E. 2; Christoph Peter, Zielkonflikte zwischen Rechtsschutz und Effizienz im Recht der internationalen Amts- und Rechtshilfe, in: Bernhard Ehrenzeller (Hrsg.), Aktuelle Fragen der internationalen Amts- und Rechtshilfe, 2005, S. 189 ff., 195 f., mit Hinweisen). Auf diesem Vertrauen gründet letztlich das Amtshilfeverfahren insgesamt. Die ersuchte Behörde ist an die Darstellung des Sachverhalts in einem Ersuchen insoweit gebunden, als diese nicht wegen offensichtlicher Fehler, Lücken oder Widersprüche sofort entkräftet werden kann. Die Vor-instanz hat sich daher nicht vorfragweise darüber auszusprechen, ob der dem Ersuchen zugrunde liegende Verdacht und die im Ersuchen genannten Tatsachen zutreffen oder nicht (vgl. BVGE 2011/14 E. 2; 2010/26 E. 5.1). Sie hat weder Tat- noch irgendwelche Schuldfragen zu prüfen oder ihrerseits eine Beweiswürdigung vorzunehmen (BGE 129 II 484 E. 4.1; 128 II 407 E. 5.2.1; BVGE 2010/26 E. 5.1; vgl. Urteil des BVGer B-7550/2014 vom 30. April 2015 E. 3 [zur Publikation vorgesehen]). Dabei ist aber zu berücksichtigen, dass von den Behörden des ersuchenden Staates nicht erwartet werden kann, dass sie den Sachverhalt lückenlos und völlig widerspruchsfrei darlegen, da bisher im Dunkeln gebliebene Punkte eben gerade gestützt auf den Erhalt der ersuchten Informationen und Unterlagen geklärt werden müssen (vgl. BGE 128 II 407 E. 5.2.1).</w:t>
      </w:r>
    </w:p>
    <w:p>
      <w:r>
        <w:rPr>
          <w:b/>
        </w:rPr>
        <w:t>E. 2.5</w:t>
      </w:r>
    </w:p>
    <w:p>
      <w:r>
        <w:t>Im Fall einer vermuteten Marktmanipulation durch irreführende Werbung ist es nicht erforderlich, dass die ersuchende Behörde Belege vorlegt, aufgrund derer die Vorinstanz sich selbst vorfrageweise ein Urteil bilden kann, ob die fragliche Werbung irreführend im Sinne der massgeb-lichen ausländischen Bestimmungen gewesen sei und ob die Kontoinhaber oder deren wirtschaftlich Berechtigte dafür verantwortlich waren (vgl. Urteil des BVGer B-5903/2013 vom 10. Dezember 2010 E. 3.2.1). Die Vorinstanz muss lediglich prüfen, ob der von der ersuchenden Behörde geschilderte Sachverhalt hinreichende Indizien enthält, um die Eröffnung einer aufsichtsrechtlichen Untersuchung nachvollziehbar erscheinen zu lassen (vgl. BVGE 2011/14 E. 5.3.2; 2007/28 E. 7). Für das Vorliegen eines Anfangsverdachts reicht es aus, dass die ersuchende Behörde die zeitliche Übereinstimmung zwischen den fraglichen Transaktionen und einem auffällig erhöhten Transaktionsvolumen und Aktienkurs andererseits aufzeigt und die untersuchten Transaktionen in einem entsprechenden zeitlichen Bezug zu dieser Entwicklung auf dem Markt stehen (vgl. Urteile des BVGer B-7550/2014 vom 30. April 2015 E. 4.3 [zur Publikation vorgesehen] und B-1251/2014 vom 15. Mai 2015 E. 2.6).</w:t>
      </w:r>
    </w:p>
    <w:p>
      <w:r>
        <w:rPr>
          <w:b/>
        </w:rPr>
        <w:t>E. 2.6</w:t>
      </w:r>
    </w:p>
    <w:p>
      <w:r>
        <w:t>Im vorliegenden Verfahren war es daher - entgegen der Auffassung der Beschwerdeführerin - nicht erforderlich, dass die ersuchende Behörde der Vorinstanz Belege vorlegte, aufgrund derer die Vorinstanz sich selbst vorfrageweise hätte ein Urteil bilden können, ob die Beschwerdeführerin die einzelnen Tatbestandsmerkmale des "pump and dump"-Szenarios im Sinne der erwähnten ausländischen Bestimmungen tatsächlich erfüllt hätte. Diese Frage wird Gegenstand eines allfälligen, von der SEC durchzuführenden Verfahrens sein. Für das Vorliegen eines Anfangsverdachts reicht es aus, dass die ersuchende Behörde die zeitliche Übereinstimmung zwischen den anpreisenden E-Mails und Einträgen einerseits und einem auffällig erhöhten Transaktionsvolumen und Aktienpreis andererseits aufzeigt und die von der Beschwerdeführerin in Auftrag gegebenen Transaktionen im entsprechenden Zeitpunkt erfolgten. Im vorliegenden Fall ist nicht bestritten, dass diese Voraussetzungen gegeben sind. Angesichts dieser Aktenlage ist nicht zu beanstanden, wenn die Vor-instanz davon ausging, die Eröffnung einer aufsichtsrechtlichen Untersuchung durch die ersuchende Behörde erscheine als nachvollziehbar und es liege ein genügender Anfangsverdacht vor.</w:t>
      </w:r>
    </w:p>
    <w:p>
      <w:r>
        <w:rPr>
          <w:b/>
        </w:rPr>
        <w:t>E. 3</w:t>
      </w:r>
    </w:p>
    <w:p>
      <w:r>
        <w:t>Die Beschwerdeführerin beanstandet weiter, dass sich unter den zur Übermittlung vorgesehenen Dokumenten auch solche befänden, welche nichts mit der Untersuchung betreffend J._______ zu tun hätten. Die Weiterleitung dieser Dokumente an die SEC sei daher unverhältnismässig. Insbesondere beantragt sie, es sei auf die Übermittlung von Dokumenten zur Identität des wirtschaftlich Berechtigten zu verzichten.</w:t>
      </w:r>
    </w:p>
    <w:p>
      <w:r>
        <w:rPr>
          <w:b/>
        </w:rPr>
        <w:t>E. 3.1</w:t>
      </w:r>
    </w:p>
    <w:p>
      <w:r>
        <w:t>Es liegt im Ermessen der ersuchenden Aufsichtsbehörde festzulegen, welche Informationen sie für die Durchführung ihres Verfahrens benötigt. Auch ist es ihre Aufgabe, aufgrund eigener Untersuchungen und gestützt auf die eingeholten Informationen festzustellen, ob einzelne Transaktionen verdächtig sind oder nicht und die entsprechende Ausscheidung zu treffen (BGE 126 II 409 E. 5b). Die Vorinstanz ist im Lichte des Grundsatzes der Verhältnismässigkeit nur gehalten, keine Informationen zu übermitteln, die ohne jeden Bezug zu den vermuteten Unregelmässigkeiten stehen und für das ausländische Verfahren nicht potenziell relevant erscheinen (vgl. Urteil des BGer 2A.603/2006 vom 21. Dezember 2006 E. 2; BVGE 2010/26 E. 5.5.1; Urteil des BVGer B-7550/2014 vom 30. April 2015 E. 4.3 [zur Publikation vorgesehen]; Hans-Peter Schaad, in: Rolf Watter/Nedim Peter Vogt [Hrsg.], Basler Kommentar, Börsengesetz, Basel 2007, N 126 zu Art. 38).</w:t>
      </w:r>
    </w:p>
    <w:p>
      <w:r>
        <w:rPr>
          <w:b/>
        </w:rPr>
        <w:t>E. 3.2</w:t>
      </w:r>
    </w:p>
    <w:p>
      <w:r>
        <w:t>Aus den bei der B._______ Bank eingeholten Kontoauszügen vom 1. Juli 2011 bis Ende September 2012 sowie aus den dazugehörigen Vergütungsaufträgen sind keine Buchungen ersichtlich, welche auf die J._______-Aktien lauten. Wie die Vorinstanz zutreffend ausführt, bedeutet dies jedoch nicht, dass diese Dokumente für die Untersuchung der SEC irrelevant wären. Aus den der SEC bereits übermittelten Vergütungsaufträgen und den Kontoauszügen vom 1. Oktober 2010 bis zum 20. Juni 2011 kann vielmehr ersehen werden, dass die Gelder auf einem der Konten aus den Gegenstand der Untersuchung der SEC bildenden Verkäufen von J._______-Aktien stammen. Aus den zusätzlich bei der B._______ Bank eingeholten Kontoauszügen und Vergütungsauszügen vom 1. Juli 2011 bis Ende September 2012 ist ersichtlich, wohin diese Gelder nach dem Verkauf der Aktien flossen. Diese Unterlagen könnten daher relevant sein für die Abklärung der SEC, wer von den Transaktionen mit J._______-Aktien letztlich profitiert hat. Auch Informationen zu anderen Titeln, welche die Beschwerdeführerin im hier fraglichen Zeitraum in ihren Depots gehalten und teilweise verkauft hat, sind für die SEC potenziell relevant, denn um die Transaktionen richtig einzuordnen, kann es erforderlich sein, den Handel mit J._______-Aktien im Zusammenhang mit sonstigen Aktivitäten auf den Konten und Depots der Beschwerdeführerin betrachten zu können. Es ist daher nicht zu beanstanden, wenn die Vorinstanz diesbezüglich den erforderlichen inhaltlichen Zusammenhang zwischen dem von der ersuchenden Behörde dargelegten Anfangsverdacht und diesen Unterlagen bejaht hat.</w:t>
      </w:r>
    </w:p>
    <w:p>
      <w:r>
        <w:rPr>
          <w:b/>
        </w:rPr>
        <w:t>E. 3.3</w:t>
      </w:r>
    </w:p>
    <w:p>
      <w:r>
        <w:t>Die Übermittlung von Informationen über Personen, die offensichtlich nicht in die zu untersuchende Angelegenheit verwickelt sind, ist unzulässig (Art. 38 Abs. 4 Satz 3 BEHG). Nach der ständigen Rechtsprechung kann der Bankkunde, über dessen Konten die verdächtigten Transaktionen liefen, allenfalls dann als offensichtlich "unbeteiligter Dritter" angesehen werden, wenn ein klares und unzweideutiges (schriftliches) Vermögensverwaltungsmandat vorliegt und keine anderen Umstände darauf hinweisen, dass er in irgendeiner Form dennoch an den verdächtigten Transaktionen beteiligt gewesen sein könnte. Dabei muss er auch plausibel darlegen können, dass die ohne sein Wissen ausgeführten und untersuchten Transaktionen im Rahmen des Verwaltungsmandates getätigt wurden (vgl. zum Ganzen: Bericht der Eidgenössischen Finanzmarktaufsicht FINMA, in: Stephan Breitenmoser/ Bernhard Ehrenzeller (Hrsg.), Aktuelle Fragen der internationalen Amts- und Rechtshilfe, 2009, S. 327 und 328, mit zahlreichen Hinweisen auf die Rechtsprechung). In allen anderen Fällen lässt die Tatsache, dass die umstrittenen Transaktionen über das Konto des Bankkunden getätigt wurden, ihn in den Anlageentscheid im Sinne von Art. 38 Abs. 4 BEHG als "verwickelt" erscheinen (Urteil des BGer 2A.12/2007 vom 17. April 2007, E. 4.2, mit Hinweisen). Diese Rechtsprechung, welche im Zusammenhang mit dem Kontoinhaber entwickelt wurde, gilt auch für den wirtschaftlich Berechtigten. Auch in Bezug auf diesen ist nach der Rechtsprechung im Regelfall davon auszugehen, dass bereits die Tatsache der wirtschaftlichen Berechtigung ihn als nicht völlig unbeteiligten Dritten erscheinen lässt (vgl. Urteil des BVGer B-2697/2013 vom 11. Juli 2013 E. 1.4.1, mit Hinweisen).</w:t>
      </w:r>
    </w:p>
    <w:p>
      <w:r>
        <w:rPr>
          <w:b/>
        </w:rPr>
        <w:t>E. 3.4</w:t>
      </w:r>
    </w:p>
    <w:p>
      <w:r>
        <w:t>Im vorliegenden Fall hat die Beschwerdeführerin weder ausdrücklich geltend gemacht noch substantiiert, dass der wirtschaftlich Berechtigte unbeteiligter Dritter und deshalb in die untersuchte Angelegenheit nicht aktiv involviert gewesen sei. Da sie indessen beantragt, der SEC keine Informationen über den wirtschaftlich Berechtigten zu übermitteln, sei der Vollständigkeit halber jedoch erwähnt, dass angesichts der oben erwähnten Rechtsprechung und den Akten keinerlei Anhaltspunkte bestehen, um C._______ als "offensichtlich unbeteiligten Dritten" erscheinen zu lassen. Vielmehr ergibt sich aus den eingeholten Kontoauszügen und den dazugehörigen Vergütungsaufträgen für den Zeitraum vom 1. Oktober 2010 bis 20. Juni 2011, dass die Gelder vom Konto der Beschwerdeführerin im Anschluss an die Verkaufsphase von Dezember 2010 bis Mitte Mai 2011 neben verschiedenen Gesellschaften und Re-investitionen direkt an den wirtschaftlich Berechtigten C._______ flossen.</w:t>
      </w:r>
    </w:p>
    <w:p>
      <w:r>
        <w:rPr>
          <w:b/>
        </w:rPr>
        <w:t>E. 3.5</w:t>
      </w:r>
    </w:p>
    <w:p>
      <w:r>
        <w:t>Die Übermittlung des Formulars A sowie der weiteren Dokumenten, aus welchen der wirtschaftlich Berechtigte ersichtlich ist, sowie der weiteren Unterlagen, aus denen hervorgeht, an welche Personen und Gesellschaften und auf welche Konten die Gelder aus den Transaktionen in J._______-Aktien geflossen sind, erweist sich daher weder als unverhältnismässig noch aus anderen Gründen als unzulässig.</w:t>
      </w:r>
    </w:p>
    <w:p>
      <w:r>
        <w:rPr>
          <w:b/>
        </w:rPr>
        <w:t>E. 4</w:t>
      </w:r>
    </w:p>
    <w:p>
      <w:r>
        <w:t>Das Amtshilfeersuchen stützt sich somit auf einen rechtsgenüglichen Anfangsverdacht und ist verhältnismässig. Die Voraussetzungen für die Gewährung von Amtshilfe sind insgesamt erfüllt. Damit erweist sich die Beschwerde als unbegründet und ist abzuweisen.</w:t>
      </w:r>
    </w:p>
    <w:p>
      <w:r>
        <w:rPr>
          <w:b/>
        </w:rPr>
        <w:t>E. 5</w:t>
      </w:r>
    </w:p>
    <w:p>
      <w:r>
        <w:t>Bei diesem Verfahrensausgang gilt die Beschwerdeführerin als unterliegende Partei, weshalb ihr die Kosten des Verfahrens aufzuerlegen sind (vgl. Art. 63 VwVG; Art. 1 ff. des Reglements über die Kosten und Entschädigungen vor dem Bundesverwaltungsgericht vom 21. Februar 2008 [VGKE, SR 173.320.2]). Auch hat sie keinen Anspruch auf eine Parteientschädigung (vgl. Art. 64 Abs. 1 VwVG; Art. 7 Abs. 1 VGKE).</w:t>
      </w:r>
    </w:p>
    <w:p>
      <w:r>
        <w:rPr>
          <w:b/>
        </w:rPr>
        <w:t>E. 6</w:t>
      </w:r>
    </w:p>
    <w:p>
      <w:r>
        <w:t>Dieser Entscheid kann nicht mit Beschwerde an das Bundesgericht weitergezogen werden (vgl. Art. 83 Bst. h des Bundesgesetzes über das Bundesgericht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