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B-2458/2020 vom 7. März 2021</w:t>
      </w:r>
    </w:p>
    <w:p>
      <w:r>
        <w:t>Bundesverwaltungsgericht, 2021-03-07, IT</w:t>
      </w:r>
    </w:p>
    <w:p>
      <w:r>
        <w:rPr>
          <w:b/>
        </w:rPr>
        <w:t xml:space="preserve">Quelle: </w:t>
      </w:r>
      <w:r>
        <w:t>https://mcp.opencaselaw.ch/entscheid/bvger_B-2458_2020</w:t>
      </w:r>
    </w:p>
    <w:p>
      <w:r>
        <w:t>FR: TAF B-2458/2020 du 7 mars 2021</w:t>
      </w:r>
    </w:p>
    <w:p>
      <w:r>
        <w:t>IT: TAF B-2458/2020 del 7 marzo 2021</w:t>
      </w:r>
    </w:p>
    <w:p>
      <w:pPr>
        <w:pStyle w:val="Heading2"/>
      </w:pPr>
      <w:r>
        <w:t>Regeste</w:t>
      </w:r>
    </w:p>
    <w:p>
      <w:r>
        <w:t>Sorveglianza dei revisori</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e LTAF il ricorso è ammissibile contro le decisioni dell'autorità inferiore, in quanto istituto di diritto pubblico con personalità giuridica propria (art. 28 cpv. 2 della legge federale del 16 dicembre 2005 sull'abilitazione e la sorveglianza dei revisori [LSR, RS 221.302]). Nell'evenienza, non sussistono eccezioni a norma dell'art. 32 LTAF.</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Con il deposito del ricorso, la trattazione della causa, oggetto della decisione impugnata, passa al Tribunale amministrativo federale (effetto devolutivo del ricorso), il quale dispone di un pieno potere di cognizione riguardo all'applicazione del diritto federale, compreso l'eccesso o l'abuso del potere di apprezzamento, all'accertamento inesatto o incompleto dei fatti giuridicamente rilevanti, e, in linea di principio, all'inadeguatezza (artt. 49 e 54 PA).</w:t>
      </w:r>
    </w:p>
    <w:p>
      <w:r>
        <w:rPr>
          <w:b/>
        </w:rPr>
        <w:t>E. 3.1</w:t>
      </w:r>
    </w:p>
    <w:p>
      <w:r>
        <w:t>Nel caso in specie, il ricorrente contesta le considerazioni dell'autorità inferiore, secondo cui egli avrebbe avuto un comportamento, segnatamente nelle vesti di membro del CdA della A._______, atto a pregiudicare la sua reputazione, e si oppone all'ammonimento ottenuto dall'ASR per ciò. Egli contesta che quest'ultima si sarebbe limitata a riprendere quanto deciso dal Tribunale cantonale delle assicurazioni (cfr. fatti A.b). Così facendo l'autorità inferiore non avrebbe accertato i fatti giuridicamente rilevanti in maniera completa (art. 12 PA in collegamento con l'art. 49 lett. a PA) e non avrebbe fornito alcuna motivazione chiara del perché le azioni del ricorrente avrebbero intaccato la sua garanzia di un'attività incensurabile (art. 35 cpv. 1 PA). Oltre a sottolineare di non aver subito condanne penali, il ricorrente sostiene che l'ASR non avrebbe effettuato alcun tipo di indagine per capire in che modo quest'ultimo aveva cercato di gestire la situazione relativa alla A._______, nonché quale suo comportamento avrebbe potuto effettivamente pregiudicare la sua reputazione di revisore. Al contrario, l'autorità inferiore avrebbe ignorato le osservazioni del ricorrente, inoltrate in data 19 febbraio 2019, segnatamente il fatto che egli avrebbe adempiuto ai propri obblighi di diligenza, irrilevanti nell'applicazione dell'art. 52 LAVS, ma centrali rispetto all'art. 4 LSR. A tal proposito, l'ASR non avrebbe appurato in che misura il ricorrente avrebbe partecipato all'adempimento delle condizioni di cui all'art. 52 LAVS, concernente la responsabilità solidale dei membri del CdA. Nel giudicare tali casi, l'autorità competente analizza esclusivamente se vi sia stata un'omissione dei pagamenti dei contributi sociali e se vi sia un motivo di giustificazione o discolpa (come per esempio, l'esistenza di una possibilità oggettiva, atta a risolvere la questione in breve termine). Pertanto, quanto deciso dalla Cassa cantonale AVS (cfr. fatti A.a) e dal Tribunale cantonale delle assicurazioni (cfr. fatti A.b) non apporterebbe degli elementi sufficienti a permettere all'ASR di valutare se il comportamento del ricorrente sia stato in linea o meno con l'art. 4 LSR. Tuttalpiù, sarebbe stata l'ASR stessa a causargli un danno reputazionale non indifferente, inviando la comunicazione del 17 dicembre 2018 al destinatario sbagliato.</w:t>
      </w:r>
    </w:p>
    <w:p>
      <w:r>
        <w:rPr>
          <w:b/>
        </w:rPr>
        <w:t>E. 3.2</w:t>
      </w:r>
    </w:p>
    <w:p>
      <w:r>
        <w:t>L'ottenimento di una decisione motivata (cfr. art. 35 PA) è un diritto del ricorrente, facente parte e garantito dal diritto di essere sentito, sancito dall'art. 29 cpv. 2 Cost. Tale obbligo di motivare la propria decisione è soddisfatto quando l'interessato ha la possibilità di valutarne la portata e di deferirlo ad un'autorità superiore con piena cognizione di causa. È sufficiente che l'autorità inferiore menzioni almeno brevemente i motivi dai quali è stata guidata e su cui si è basata la sua decisione. Essa non è tenuta a pronunciarsi su tutti i motivi delle parti e può pertanto limitarsi ai punti essenziali per la decisione (DTF 143 III 65 consid. 5.2, 142 II 243 consid. 3.1 con rinvii, 142 II 154 consid. 4.2, 138 I 232 consid. 5.1, 137 II 266 consid. 3.2, 136 I 229 consid. 5.2; sentenza del TAF B-4920/2015 del 2 febbraio 2017 consid. 6.1).</w:t>
      </w:r>
    </w:p>
    <w:p>
      <w:r>
        <w:rPr>
          <w:b/>
        </w:rPr>
        <w:t>E. 3.3</w:t>
      </w:r>
    </w:p>
    <w:p>
      <w:r>
        <w:t>Il Tribunale considera che le motivazioni apportate dall'autorità inferiore consentono al ricorrente di poter valutare la portata della decisione e di deferirla all'autorità superiore, ovvero codesto Tribunale, e illustrano in maniera sufficientemente comprensibile su quali elementi essa ha basato la propria decisione. Pertanto, l'ASR ha motivato la propria decisione in maniera sufficientemente chiara, rispettando così l'obbligo di motivazione ai sensi dell'art. 29 cpv. 2 Cost. Inoltre, l'autorità inferiore ha mostrato di avere tenuto conto di quanto osservato da ricorrente. A tal proposito basti considerare che nella sua decisone, l'ASR ha valutato gli sforzi effettuati dal ricorrente (come anche dagli altri membri del CdA) per rimborsare i contributi alla Cassa cantonale AVS ed ha considerato che, in seguito alla vendita dello stabile di [...], il danno subito dalla Cassa cantonale AVS è stato risarcito. Pertanto, l'ASR ha valutato il caso in specie, tenendo conto dei fatti giuridicamente rilevanti e di quanto fatto valere dal ricorrente.</w:t>
      </w:r>
    </w:p>
    <w:p>
      <w:r>
        <w:rPr>
          <w:b/>
        </w:rPr>
        <w:t>E. 4</w:t>
      </w:r>
    </w:p>
    <w:p>
      <w:r>
        <w:t>L'ASR rimprovera al ricorrente una violazione della garanzia di un'attività irreprensibile, ovvero della sua reputazione ineccepibile, dovuta alla disattesa dei suoi obblighi di membro del CdA della A._______. In considerazione di tutti gli elementi, segnatamente degli sforzi fatti per rimediare al danno arrecato alla Cassa cantonale AVS, tale violazione risulterebbe lieve. Va, dunque, analizzato l'ammonimento ottenuto dal ricorrente quale misura adottata dall'autorità inferiore.</w:t>
      </w:r>
    </w:p>
    <w:p>
      <w:r>
        <w:rPr>
          <w:b/>
        </w:rPr>
        <w:t>E. 4.1</w:t>
      </w:r>
    </w:p>
    <w:p>
      <w:r>
        <w:t>La LSR disciplina l'abilitazione e la sorveglianza delle persone che forniscono servizi di revisione (art. 1 cpv. 1 LSR) e persegue lo scopo di assicurare che i servizi di revisione siano forniti conformemente alle prescrizioni e ai requisiti di qualità (art. 1 cpv. 2 LSR). La definizione dello scopo è determinante per l'interpretazione della LSR (cfr. Messaggio concernente la modifica del Codice delle obbligazioni [obbligo di revisione nel diritto societario] e la legge federale sull'abilitazione e la sorveglianza dei revisori del 23 giugno 2004, FF 2004 3545 segg. [di seguito: Messaggio LSR]; Reto Sanwald/Loris Pellegrini, Revision ohne Zulassung, Auswirkungen im Straf-, Verwaltungs- und Zivilrecht, in: Der Schweizer Treuhänder [ST] 2010, pag. 640 e segg.).</w:t>
      </w:r>
    </w:p>
    <w:p>
      <w:r>
        <w:rPr>
          <w:b/>
        </w:rPr>
        <w:t>E. 4.1.1</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w:t>
      </w:r>
    </w:p>
    <w:p>
      <w:r>
        <w:rPr>
          <w:b/>
        </w:rPr>
        <w:t>E. 4.1.2</w:t>
      </w:r>
    </w:p>
    <w:p>
      <w:r>
        <w:t>Le persone fisiche e le imprese di revisione, tra cui le imprese individuali, che forniscono servizi di revisione, necessitano di un'abilitazione (art. 2 lett. b e art. 3 cpv. 1 LSR in relazione con l'art. 1 dell'Ordinanza del 22 agosto 2007 sull'abilitazione e la sorveglianza dei revisori [OSRev, RS 221.302.3]). Una persona fisica è abilitata ad esercitare la funzione di perito revisore o di revisore, se adempie i requisiti in materia di formazione e di esperienza professionale ed è incensurata (art. 4 cpv. 1 e 2, nonché art. 5 cpv. 1 LSR). Il richiedente è abilitato, se gode di buona reputazione e se non vi sono altre circostanze personali dalle quali si deduce che non può garantire un'attività di controllo ineccepibile. Occorre segnatamente prendere in considerazione: (a) le condanne penali e (b) gli atti di carenza beni esistenti (art. 4 cpv. 1 e 2 OSRev).</w:t>
      </w:r>
    </w:p>
    <w:p>
      <w:r>
        <w:rPr>
          <w:b/>
        </w:rPr>
        <w:t>E. 4.1.3</w:t>
      </w:r>
    </w:p>
    <w:p>
      <w:r>
        <w:t>L'ASR può revocare l'abilitazione a tempo determinato o indeterminato a una persona fisica abilitata o a un'impresa di revisione abilitata che non adempie più le condizioni per l'abilitazione di cui agli articoli 4 - 6 o 9a LSR. Se le condizioni per l'abilitazione possono essere ristabilite, la revoca è dapprima comminata. Se, invece, la revoca dell'abilitazione risulta sproporzionata, l'autorità di sorveglianza ammonisce per iscritto (art. 17 cpv. 1 LSR). Giusta l'art. 18 LSR, l'ASR ammonisce per scritto le persone fisiche attive per conto di un'impresa di revisione sotto sorveglianza statale che violano gli obblighi legali (cfr. sentenza del TAF B-6585/2013 del 27 agosto 2014 consid. 18.2 con rinvii).</w:t>
      </w:r>
    </w:p>
    <w:p>
      <w:r>
        <w:rPr>
          <w:b/>
        </w:rPr>
        <w:t>E. 4.2</w:t>
      </w:r>
    </w:p>
    <w:p>
      <w:r>
        <w:t>L'ASR esamina se le mancanze da essa riscontrate pregiudicano la condotta professionale e la buona reputazione dell'interessato e se quest'ultimo non è in grado di garantire un esercizio degno di fiducia della propria attività di revisione.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(sentenze del TF 2C_505/2010 del 7 aprile 2011 consid. 4.3 con rinvii, e 2C_528/2016 del 15 novembre 2016 consid. 6.4; cfr. anche, a titolo esemplificativo, la sentenza del TAF B-579/2019 del 26 marzo 2020 consid. 7.3 con rinvii).</w:t>
      </w:r>
    </w:p>
    <w:p>
      <w:r>
        <w:rPr>
          <w:b/>
        </w:rPr>
        <w:t>E. 4.3</w:t>
      </w:r>
    </w:p>
    <w:p>
      <w:r>
        <w:t>La nozione di buona reputazione è una nozione giuridica indeterminata, concretizzata dall'art. 4 OSRev, ma, per il resto, soggetta ad interpretazione (sentenze del TAF B-579/2019 del 26 marzo 2020 consid. 7.1, B-1355/2011 del 5 ottobre 2011 consid. 4.1.1, e B-5065/2011 del 3 maggio 2012 consid. 3.1). Essa va interpretata, unitamente alla nozione di garanzia di un'attività di controllo ineccepibile, con uno sguardo ai compiti particolari dell'organo di revisione, attenendosi ai relativi disposti in materia di sorveglianza dei mercati finanziari ed alla giurisprudenza (sentenze del TF 2C_528/2016 del 15 novembre 2016 consid. 3.1.1, 2C_690/2013 del 24 gennaio 2014 consid. 4.1.1, 2C_1182/2012 del 29 maggio 2013 consid. 3.2, 2C_927/2011 dell'8 maggio 2012 consid. 3.2.1, 2C_505/2010 del 7 aprile 2011 consid. 4.2, e 2C_834/2010 dell'11 marzo 2011 consid. 3.2; sentenza del TAF B-579/2019 del 26 marzo 2020 consid. 7.1 con rinvii).</w:t>
      </w:r>
    </w:p>
    <w:p>
      <w:r>
        <w:rPr>
          <w:b/>
        </w:rPr>
        <w:t>E. 4.3.1</w:t>
      </w:r>
    </w:p>
    <w:p>
      <w:r>
        <w:t>Per la garanzia di un'attività di controllo ineccepibile vanno considerati elementi quali l'integrità, la scrupolosità e l'accuratezza irreprensibile, intesi come componenti specifiche professionali della reputazione, oppure la stima, il rispetto e la fidatezza, intese come caratteristiche generali (sentenza del TF 2C_834/2010 dell'11 marzo 2011 consid. 3.2; Urs Bertschinger, in: Rolf Watter / Urs Bertschinger (ed.), Basler Kommentar, Revisionsrecht, Basilea 2011, n. 44 ad art. 4 LSR). A seconda delle circostanze, anche attività che esulano da quelle inerenti alle funzioni di revisore e perito revisore, sono suscettibili di influenzare l'apprezzamento dell'attività di controllo ineccepibile (DTF 129 II 438 consid. 3.3). Un'attività di controllo ineccepibile richiede competenza tecnica ed un comportamento corretto nelle relazioni d'affari, con cui si intendono l'osservanza dell'ordinamento giuridico, segnatamente del diritto in materia di revisione, del diritto civile e penale ed il rispetto del principio della buona fede (sentenza del TF 2C_834/2010 dell'11 marzo 2011 consid. 3.2; sentenza del TAF B-6373/2010 del 20 aprile 2011 consid. 2.4). Per questo motivo, violazioni dell'ordinamento giuridico e del principio della buona fede sono incompatibili con l'esigenza di un'attività di revisione ineccepibile (DTAF 2008/49 consid. 4.2.2 e segg.; sentenza del TAF B-5115/2009 del 12 aprile 2010 consid. 2.2). Al contrario, la violazione degli obblighi codificati nella legislazione sulla revisione e gli effetti concreti che ne derivano non sono di principio rilevanti per la questione della garanzia di un'attività di controllo ineccepibile (DTAF 2008/49 consid. 4.3.1; sentenza del TAF B-579/2019 del 26 marzo 2020 consid. 7.1).</w:t>
      </w:r>
    </w:p>
    <w:p>
      <w:r>
        <w:rPr>
          <w:b/>
        </w:rPr>
        <w:t>E. 4.3.2</w:t>
      </w:r>
    </w:p>
    <w:p>
      <w:r>
        <w:t>L'analisi della buona reputazione, rispettivamente della reputazione ineccepibile, deve pure tenere conto delle circostanze attenuanti o positive, e del loro effetto sulla stessa reputazione (sentenza del TAF B-7967/2009 del 18 aprile 2011 consid. 5.2.1 e segg.), nella misura in cui l'autorità inferiore ne sia a conoscenza (DTAF 2008/49 consid. 5.1). Dette circostanze non devono essere valutate automaticamente come attenuanti, ma di principio apprezzate in modo neutrale, in maniera analoga alla valutazione dell'assenza di precedenti penali nel diritto penale (DTF 136 IV 1 consid. 2.6.4). La reputazione è determinata sulla base delle mancanze avveratesi anteriormente (sentenza del TF 2C_834/2010 dell'11 marzo 2011 consid. 6.2) o di fatti recenti. Devono essere considerate anche circostanze personali attenuanti, come ad esempio la capacità di valutazione del carattere illecito del comportamento, il risarcimento e la riparazione del danno (in analogia all'art. 53 del Codice penale svizzero [CP, RS 311.0]), il ripristino dello stato conforme al diritto o il carattere eccezionale della mancanza, nonché il tempo trascorso dalle violazioni commesse (sentenze del TAF B-579/2019 del 26 marzo 2020 consid. 7.2 con rinvii e B-6585/2013 del 27 agosto 2014 consid. 5.4).</w:t>
      </w:r>
    </w:p>
    <w:p>
      <w:r>
        <w:rPr>
          <w:b/>
        </w:rPr>
        <w:t>E. 4.4</w:t>
      </w:r>
    </w:p>
    <w:p>
      <w:r>
        <w:t>Nel caso in specie, il mancato pagamento dei contributi AVS, dovuto a difficoltà finanziarie, rappresenta un reato contro il patrimonio, concretamente un'appropriazione indebita di trattenute salariali (art. 159 del Codice penale svizzero del 21 dicembre 1937 [CP, RS 311.0]) che, come per esempio la truffa (art. 146 CP) o la falsità in documenti (art. 251 CP), non si rapporta necessariamente in modo diretto ai compiti essenziali di un revisore ("Kernbereich [der] Aufgaben als Revisor", sentenza del Tribunale federale 2C_591/2010 del 15 marzo 2011 consid. 4), ma il cui effetto negativo sulla fiducia nell'attività di revisione, non può essere ignorato (cfr. sentenza del TAF B-3069/2016 del 29 marzo 2017 consid. 12.1). Pertanto, alla luce della notevole valenza giuridica e morale della nozione di buona reputazione, appare chiaro che nella fattispecie, il mancato pagamento dei contributi AVS sia suscettibile di intaccare la reputazione del ricorrente, sotto il profilo della sua fidatezza e del suo comportamento corretto nelle relazioni d'affari, nell'esercizio della sua funzione di perito revisore. Inoltre, il ricorrente fa valere che quanto accaduto in qualità di membro del CdA della A._______, non comprometterebbe l'attività di perito revisore, che avrebbe invece sempre svolto in maniera irreprensibile (cfr. consid. 3.1). A tal proposito, è necessario considerare che un revisore può fregiarsi di godere di una buona reputazione solamente se fa prova di una condotta ineccepibile, la quale deve essere, per legge, la sua condotta normale, dimodoché essa non può costituire una circostanza attenuante (cfr. sentenza del TAF B-3069/2016 del 29 marzo 2017 consid. 12.1). Diversa è invece la situazione per quanto concerne il risarcimento del danno subito dalla Cassa cantonale AVS. Infatti, seppur tale riparazione non giustifichi in alcun modo quanto fatto dalla A._______, o meglio dai suoi membri del CdA, deve esserne tenuto conto nell'ambito della scelta della misura da adottare (cfr. consid. 5).</w:t>
      </w:r>
    </w:p>
    <w:p>
      <w:r>
        <w:rPr>
          <w:b/>
        </w:rPr>
        <w:t>E. 5</w:t>
      </w:r>
    </w:p>
    <w:p>
      <w:r>
        <w:t>Circa la sanzione da pronunciare, in generale, 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(DTF 129 I 12 consid. 6 a 9).</w:t>
      </w:r>
    </w:p>
    <w:p>
      <w:r>
        <w:rPr>
          <w:b/>
        </w:rPr>
        <w:t>E. 5.1</w:t>
      </w:r>
    </w:p>
    <w:p>
      <w:r>
        <w:t>Circa la regola dell'idoneità, 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Le misure previste dalla legge, che permettono di raggiungere il fine perseguito da quest'ultima,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(sentenze del TF 2C_505/2010 del 7 aprile 2011 consid. 4.3, e 2C_528/2016 del 15 novembre 2016 consid. 7.1; sentenza del TAF B-579/2019 del 26 marzo 2020 consid. 11.2 con rinvii), sono la revoca dell'abilitazione e la comminatoria di quest'ultima con l'ammonimento (art. 17 cpv. 1 e art. 18 LSR). Pertanto, dato che l'idoneità dell'ammonimento con comminatoria, quale misura per ristabilire la fiducia del pubblico nella qualità e affidabilità dei servizi di revisione, è contemplata dalla legge stessa, questo Tribunale non può che constatarla anche nel caso in specie (art. 190 Cost.).</w:t>
      </w:r>
    </w:p>
    <w:p>
      <w:r>
        <w:rPr>
          <w:b/>
        </w:rPr>
        <w:t>E. 5.2</w:t>
      </w:r>
    </w:p>
    <w:p>
      <w:r>
        <w:t>Per quanto concerne la necessità, l'ASR ha optato per l'ammonimento con comminatoria di revoca, in base allo schema che adotta abitualmente, avendo riguardo alle diverse circostanze di ogni fattispecie, in funzione del grado di gravità delle violazioni della legislazione sulla revisione: (a) una violazione lieve comporta un ammonimento; (b) una violazione media implica una revoca di una durata di uno o due anni; (c) una violazione grave comporta una revoca di una durata di tre o quattro anni; (d) una violazione gravissima implica una revoca di una durata di cinque o sei anni (decisione impugnata, marg. 28). Se ne evince che l'ammonimento con comminatoria di revoca, pronunciato dall'autorità inferiore, rappresenta la misura più mite tra quelle espressamente previste dalla legge e quindi in generale possibile (cfr., per analogia, sentenza del TAF B-3736/2012 del 7 gennaio 2014 consid. 8.1 e segg.).</w:t>
      </w:r>
    </w:p>
    <w:p>
      <w:r>
        <w:rPr>
          <w:b/>
        </w:rPr>
        <w:t>E. 5.3</w:t>
      </w:r>
    </w:p>
    <w:p>
      <w:r>
        <w:t>Pertanto, l'ammonimento con comminatoria di revoca quale misura scelta dall'ASR, risulta proporzionata, in quanto atta al raggiungimento dello scopo d'interesse pubblico fissato dalla legge, essendo tra più misure possibili, quella che incide meno fortemente sui diritti privati del ricorrente (cfr. sentenza del TAF B-2780/2016 del 19 aprile 2017 consid. 7.2), nonché essendo in linea con la regola della preponderanza dell'interesse pubblico (cfr. consid. 4.4).</w:t>
      </w:r>
    </w:p>
    <w:p>
      <w:r>
        <w:rPr>
          <w:b/>
        </w:rPr>
        <w:t>E. 6</w:t>
      </w:r>
    </w:p>
    <w:p>
      <w:r>
        <w:t>Infine, il ricorrente contesta il montante dell'emolumento richiesto dall'autorità inferiore (fr. 1'500.-), in quanto 6 ore di lavoro risulterebbero sproporzionate per la redazione della decisione impugnata. Soprattutto in virtù del fatto che quest'ultima riprenderebbe in buona parte quanto formulato dal Tribunale delle assicurazioni.</w:t>
      </w:r>
    </w:p>
    <w:p>
      <w:r>
        <w:rPr>
          <w:b/>
        </w:rPr>
        <w:t>E. 6.1</w:t>
      </w:r>
    </w:p>
    <w:p>
      <w:r>
        <w:t>Giusta l'art. 21 cpv. 1 LSR, l'autorità di sorveglianza riscuote emolumenti per le sue decisioni, controlli e prestazioni. La tariffa è di fr. 250.- all'ora (art. 40 OSRev).</w:t>
      </w:r>
    </w:p>
    <w:p>
      <w:r>
        <w:rPr>
          <w:b/>
        </w:rPr>
        <w:t>E. 6.2</w:t>
      </w:r>
    </w:p>
    <w:p>
      <w:r>
        <w:t>Nella fattispecie, non vi sono elementi per poter considerare sei ore di lavoro come eccessive per la trattazione del caso e la redazione della decisione impugnata (cfr. sentenze del TAF B-646/2018 del 30 novembre 2020 consid. 6 e B-3972/2016 del 5 giugno 2018 consid. 5.2). Anche qualora l'autorità inferiore avesse ripreso degli elementi dalla decisione del Tribunale delle assicurazioni, essa avrebbe comunque impiegato del tempo per le riflessioni e le analisi giuridiche necessarie. Pertanto, l'emolumento di fr. 1'500.-, risulta giustificato e a carico del ricorrente.</w:t>
      </w:r>
    </w:p>
    <w:p>
      <w:r>
        <w:rPr>
          <w:b/>
        </w:rPr>
        <w:t>E. 7</w:t>
      </w:r>
    </w:p>
    <w:p>
      <w:r>
        <w:t>Alla luce dei considerandi precedenti, lo scrivente Tribunale giunge alla conclusione che, nella misura in cui l'autorità inferiore ha disposto un ammonimento con comminatoria di revoca nei confronti del ricorrente, la medesima non ha violato il diritto federale, ma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dell'ASR del 9 marzo 2020 è confermata.</w:t>
      </w:r>
    </w:p>
    <w:p>
      <w:r>
        <w:rPr>
          <w:b/>
        </w:rPr>
        <w:t>E. 8</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w:t>
      </w:r>
    </w:p>
    <w:p>
      <w:r>
        <w:rPr>
          <w:b/>
        </w:rPr>
        <w:t>E. 8.1</w:t>
      </w:r>
    </w:p>
    <w:p>
      <w:r>
        <w:t>Nella fattispecie, visto l'esito del ricorso e dell'onere di lavoro per trattare la procedura di merito, le spese processuali sono fissate a fr. 3'000.-. Tale importo è posto a carico del ricorrente totalmente soccombente e verrà compensato, dopo la crescita in giudicato della presente sentenza, dall'anticipo di fr. 3'000.- già versato dal medesimo in data 8 giugno 2020.</w:t>
      </w:r>
    </w:p>
    <w:p>
      <w:r>
        <w:rPr>
          <w:b/>
        </w:rPr>
        <w:t>E. 8.2</w:t>
      </w:r>
    </w:p>
    <w:p>
      <w:r>
        <w:t>Infine, in virtù dell'art. 63 cpv. 2 PA, nessuna spesa processuale è messa a carico dell'autorità inferiore.</w:t>
      </w:r>
    </w:p>
    <w:p>
      <w:r>
        <w:rPr>
          <w:b/>
        </w:rPr>
        <w:t>E. 9</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w:t>
      </w:r>
    </w:p>
    <w:p>
      <w:r>
        <w:rPr>
          <w:b/>
        </w:rPr>
        <w:t>E. 9.1</w:t>
      </w:r>
    </w:p>
    <w:p>
      <w:r>
        <w:t>Nella fattispecie, il ricorrente, totalmente soccombente, non ha diritto alla rifusione delle spese ripetibili.</w:t>
      </w:r>
    </w:p>
    <w:p>
      <w:r>
        <w:rPr>
          <w:b/>
        </w:rPr>
        <w:t>E. 9.2</w:t>
      </w:r>
    </w:p>
    <w:p>
      <w:r>
        <w:t>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