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B-2457/2020 vom 3. Juli 2020</w:t>
      </w:r>
    </w:p>
    <w:p>
      <w:r>
        <w:t>Bundesverwaltungsgericht, 2020-07-03, DE</w:t>
      </w:r>
    </w:p>
    <w:p>
      <w:r>
        <w:rPr>
          <w:b/>
        </w:rPr>
        <w:t xml:space="preserve">Quelle: </w:t>
      </w:r>
      <w:r>
        <w:t>https://mcp.opencaselaw.ch/entscheid/bvger_B-2457_2020</w:t>
      </w:r>
    </w:p>
    <w:p>
      <w:r>
        <w:t>FR: TAF B-2457/2020 du 3 juillet 2020</w:t>
      </w:r>
    </w:p>
    <w:p>
      <w:r>
        <w:t>IT: TAF B-2457/2020 del 3 luglio 2020</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1.1.0</w:t>
      </w:r>
    </w:p>
    <w:p>
      <w:r>
        <w:t>Stundenansatz der Energieberater (enthält alle Leistungen von 1.1.1, 1.1.2, 1.1.3, 1.2.1). Aufwände 1.1.1 und 1.1.2 müssen jeweils auf die Beratungsstunden in Pos. 1.1.3 umgelagert werden. CHF/h - 1'000'000 -</w:t>
      </w:r>
    </w:p>
    <w:p>
      <w:r>
        <w:rPr>
          <w:b/>
        </w:rPr>
        <w:t>E. 1.1.1</w:t>
      </w:r>
    </w:p>
    <w:p>
      <w:r>
        <w:t>Bereitschaft des Beraterpools bei Anfragen für die Erarbeitung von Zielvereinbarungen oder die Durchführung von Monitorings anhand Konzept 1.0 (geschätzter Aufwand 200h, muss auf die verrechenbaren Stunden aus Pos. 1.1.3 umgelagert werden) Im Stundensatz für Energieberater enthalten</w:t>
      </w:r>
    </w:p>
    <w:p>
      <w:r>
        <w:rPr>
          <w:b/>
        </w:rPr>
        <w:t>E. 1.1.2</w:t>
      </w:r>
    </w:p>
    <w:p>
      <w:r>
        <w:t>Koordination Aufträge der Energieberater, Inkasso, Fachsupport und Qualitätssicherung Zielvereinbarungen und Monitoringberichte anhand Konzept 1.0.1 (geschätzter Aufwand 3'000h, muss auf die verrechenbaren Stunden aus Pos. 1.1.3 umgelagert werden) Im Stundensatz für Energieberater enthalten</w:t>
      </w:r>
    </w:p>
    <w:p>
      <w:r>
        <w:rPr>
          <w:b/>
        </w:rPr>
        <w:t>E. 1.1.3</w:t>
      </w:r>
    </w:p>
    <w:p>
      <w:r>
        <w:t>Beratung, Begleitung und Erstellung der Zielvereinbarungen und Monitorings durch die Energieberater anhand Konzept 1.0.1 (geschätzter Aufwand 1'000'000, entspricht den mit dem maximalen Stundensatz für Energieleistungen verrechenbaren Leistungen) Im Stundensatz für Energieberater enthalten Pos. Option 2: Verlängerung Betrieb Beraterpool um zwei Jahre Einheit Maximaler Stundensatz exkl. MWST Maximale Anzahl Total in CHF exkl. MWST</w:t>
      </w:r>
    </w:p>
    <w:p>
      <w:r>
        <w:rPr>
          <w:b/>
        </w:rPr>
        <w:t>E. 1.2</w:t>
      </w:r>
    </w:p>
    <w:p>
      <w:r>
        <w:t>Als durch Beschwerde an das Bundesverwaltungsgericht selbständig anfechtbare Verfügungen gilt nebst dem Zuschlag namentlich auch die Ausschreibung des Auftrags (Art. 29 Bst. b i.V.m. Art. 27 Abs. 1 des Bundesgesetzes vom 16. Dezember 1994 über das öffentliche Beschaffungswesen [BöB, SR 172.056.1]).</w:t>
      </w:r>
    </w:p>
    <w:p>
      <w:r>
        <w:rPr>
          <w:b/>
        </w:rPr>
        <w:t>E. 1.2.1</w:t>
      </w:r>
    </w:p>
    <w:p>
      <w:r>
        <w:t>Betrieb Beraterpool von 01.01.2025 bis 31.12.2026 CHF/h - 600'000 -</w:t>
      </w:r>
    </w:p>
    <w:p>
      <w:r>
        <w:rPr>
          <w:b/>
        </w:rPr>
        <w:t>E. 1.3</w:t>
      </w:r>
    </w:p>
    <w:p>
      <w:r>
        <w:t>Die Beschwerdeführerin beanstandet im vorliegenden Fall nicht nur die Ausschreibung selbst, sondern auch die Ausschreibungsunterlagen.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 Vorliegend rügt die Beschwerdeführerin unter anderem, dass durch die Eignungskriterien in die Grundrechte der Anbieterinnen eingegriffen werde bzw. durch die fehlende Festlegung bzw. die fehlende Gewichtung der in den Ausschreibungsunterlagen genannten Unterkriterien zu mehreren Zuschlagskriterien gegen das Transparenzgebot verstossen werde. Dabei handelt es sich zweifelsfrei um zentrale Punkte des gesamten Vergabeverfahrens, weshalb auch die gegen die Ausschreibungsunterlagen gerichteten Rügen prima facie grundsätzlich zu hören sind. Die Vergabestelle macht denn auch nicht geltend, auf die in Frage stehenden Rügen sei nicht einzugehen, sondern stellt sich vielmehr auf den Standpunkt, dieselben seien materiell unbegründet.</w:t>
      </w:r>
    </w:p>
    <w:p>
      <w:r>
        <w:rPr>
          <w:b/>
        </w:rPr>
        <w:t>E. 1.4</w:t>
      </w:r>
    </w:p>
    <w:p>
      <w:r>
        <w:t>Das Verfahren vor dem Bundesverwaltungsgericht bestimmt sich nach dem Verwaltungsverfahrensgesetz vom 20. Dezember 1968 (VwVG, SR 172.021), soweit das Bundesgesetz über das öffentliche Beschaffungswesen vom 16. Dezember 1994 (BöB, SR 172.056.1) und das Verwaltungsgerichtsgesetz vom 17. Juni 2005 (VGG, SR 173.32) nichts Anderes bestimmen (vgl. Art. 26 Abs. 1 BöB und Art. 37 VGG). Gemäss Art. 31 BöB kann die Unangemessenheit vor Bundesverwaltungsgericht nicht gerügt werden.</w:t>
      </w:r>
    </w:p>
    <w:p>
      <w:r>
        <w:rPr>
          <w:b/>
        </w:rPr>
        <w:t>E. 1.5</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B-4086/2018 vom 30. August 2018 E. 2.2 "Produkte zur Innenreinigung II", B-3644/2017 vom 23. August 2017 E. 1.5 "Tunnelorientierungsbeleuchtung" und B-3402/2009 vom 2. Juli 2009, auszugsweise publiziert in BVGE 2009/19, nicht publizierte E. 1.2 mit Hinweisen "Microsoft").</w:t>
      </w:r>
    </w:p>
    <w:p>
      <w:r>
        <w:rPr>
          <w:b/>
        </w:rPr>
        <w:t>E. 2</w:t>
      </w:r>
    </w:p>
    <w:p>
      <w:r>
        <w:t>Im Folgenden ist prima facie zu prüfen, ob die strittige Vergabe in den Anwendungsbereich des Bundesgesetzes über das öffentliche Beschaffungswesen fällt.</w:t>
      </w:r>
    </w:p>
    <w:p>
      <w:r>
        <w:rPr>
          <w:b/>
        </w:rPr>
        <w:t>E. 2.1</w:t>
      </w:r>
    </w:p>
    <w:p>
      <w:r>
        <w:t>Das BöB erfasst nur Beschaffungen, welche dem Government Procurement Agreement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als Bundesamt Teil der allgemeinen Bundesverwaltung und untersteht damit dem BöB (Art. 2 Abs. 1 Bst. a BöB; vgl. Anhang I Annex 1 GPA).</w:t>
      </w:r>
    </w:p>
    <w:p>
      <w:r>
        <w:rPr>
          <w:b/>
        </w:rPr>
        <w:t>E. 2.3</w:t>
      </w:r>
    </w:p>
    <w:p>
      <w:r>
        <w:t>Die Vergabestelle hat die vorliegende Beschaffung als Dienstleistungsauftrag ausgeschrieben (vgl. Ziff.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vom 11. Dezember 1995 (VöB; SR 172.056.11)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Peter Galli/André Moser/Elisabeth Lang/Marc Steiner, Praxis des öffentlichen Beschaffungsrechts, 3. Auflage, Zürich 2013, Rz. 1228 mit Hinweisen). Nach Anhang 1 Annex 4 GPA ist die Zentrale Produkteklassifikation der Vereinten Nationen massgeblich (CPCprov; Urteil des BVGer B-1773/2006 vom 25. September 2008, auszugsweise publiziert in BVGE 2008/48, E. 3 "Areal- und Gebäudeüberwachung PSI"; Urteil des BVGer B-8141/2015 vom 30. August 2016 E. 3.3.4 f. "Übersetzungen ZAS"). Die Vergabestelle hat das streitgegenständliche Los Nr. 1 unter der Common Procurement Vocabulary-Referenznummern (CPV-Nummer) "71313000 Umwelttechnische Beratung", "71314300 Beratung im Bereich Energieeinsparung" sowie "90713000 Beratung in Umweltfragen" aufgeführt (vgl. Ziff. 2.5 der Ausschreibung). Diese entsprechen prima facie einer der Gruppe 867 ("Technische Beratung und Planung, integrierte technische Leistungen, zugehörige wissenschaftliche und technische Beratung, technische Versuche und Analysen bei Bauvorhaben") oder der Abteilung 94 zuzuordnenden Dienstleistung, welche vom Anhang I Annex 4 zum GPA bzw. vom Anhang 1a zur VöB erfasst wird. Dies erscheint insbesondere vor dem Hintergrund nachvollziehbar, dass die Abteilung 94 nicht nur Abfall- und Abwasserbeseitigung sowie sanitäre und ähnliche Dienstleistungen umfasst, sondern auch die Klasse 9409 "Other environmental services not elsewhere classified" (inklusive Monitoring und Controlling) enthält.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Zürich/Basel/Genf 2012, Rz. 1050, 1059 und 1131 ff.).</w:t>
      </w:r>
    </w:p>
    <w:p>
      <w:r>
        <w:rPr>
          <w:b/>
        </w:rPr>
        <w:t>E. 2.4</w:t>
      </w:r>
    </w:p>
    <w:p>
      <w:r>
        <w:t>Das geschätzte Auftragsvolumen liegt jedenfalls unter auch nur teilweiser Berücksichtigung der unter dem Zuschlagskriterium ZK 1 "Preis" mitbewerteten Optionen (vgl. dazu insbesondere E. 7.3 hiernach) deutlich über dem für Dienstleistungen geltenden Schwellenwert von Fr. 230'000.- gemäss Art. 6 Abs. 1 Bst. b BöB beziehungsweise Art. 6 Abs. 2 BöB in Verbindung mit Art. 1 Bst. b der Verordnung des Eidgenössischen Departementes für Wirtschaft, Bildung und Forschung (WBF) vom 19. November 2019 über die Anpassung der Schwellenwerte im öffentlichen Beschaffungswesen für die Jahre 2019 und 2020 (SR 172.056.12). Die Vergabestelle bestreitet im Übrigen die Anwendbarkeit des Beschaffungsrechts auch nicht mit dem Argument, dass grosse Teile des Auftrags nicht von der Vergabestelle entschädigt werden, sondern der diesbezüglich entstehende Aufwand vielmehr den die Energieberatungsdienstleistungen beziehenden Unternehmen überwälzt werden soll.</w:t>
      </w:r>
    </w:p>
    <w:p>
      <w:r>
        <w:rPr>
          <w:b/>
        </w:rPr>
        <w:t>E. 2.5</w:t>
      </w:r>
    </w:p>
    <w:p>
      <w:r>
        <w:t>Ein Ausnahmetatbestand im Sinne von Art. 3 BöB liegt nicht vor. Die angefochtene Ausschreibung fällt daher prima facie in den Anwendungsbereich des Bundesgesetzes über das öffentliche Beschaffungswesen, wovon im Übrigen auch die Vergabestelle ausgeht. Das Bundesverwaltungsgericht ist daher für die Beurteilung der vorliegenden Streitsache prima facie zuständig.</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4.1</w:t>
      </w:r>
    </w:p>
    <w:p>
      <w:r>
        <w:t>Materiell rügt die Beschwerdeführerin gewisse Anforderungen der Vergabestelle als unverhältnismässige Eingriffe in die Wirtschaftsfreiheit, die Privatsphäre, die Meinungsäusserungsfreiheit und die Eigentumsgarantie (Beschwerde, Rz. 112 ff.). Vergaberechtlich wird beanstandet, dass die effektive Gewichtung aufgrund die gewählte Bewertungsmethode der bekannt gegebenen Gewichtung nicht entspreche. Dies führe zu einer sachwidrigen Übergewichtung des Preiskriteriums (Beschwerde, Rz. 136).</w:t>
      </w:r>
    </w:p>
    <w:p>
      <w:r>
        <w:rPr>
          <w:b/>
        </w:rPr>
        <w:t>E. 4.2</w:t>
      </w:r>
    </w:p>
    <w:p>
      <w:r>
        <w:t>Die Beschwerdeführerin bemängelt insbesondere die für die Ermittlung des massgebenden Preises (ZK 1) gewählte Bewertungsmethode. Sie kritisiert zunächst, dass der Stundenansatz, welchen die (von den siegreichen Anbieterinnen zu organisierenden) Beraterpools den beratenen Unternehmen - und nota bene nicht der Vergabestelle - in Rechnung stellen sollen, weder ein geeignetes noch ein vergaberechtskonformes Kriterium zur Beurteilung von komplexen Dienstleistungen darstelle, bei welcher eigentlich die Qualität des Angebots den Ausschlag geben müsste (Beschwerde, Rz. 98). Ausserdem seien nur der Grundauftrag (Konzeptionierung des Beraterpools und einer Koordinationsstelle) und die Option 3 (Konzeptionierung einer Aus- und Weiterbildung für Energieberater) zu einem Fixpreis zu offerieren, wogegen der Preis für die Optionen 1 und 2 durch die Multiplikation einer auftraggeberseitig geschätzten Stundenzahl mit einem zu offerierenden einheitlichen Stundenansatz (der Energieberater) ermittelt werde (Beschwerde, Rz. 98 ff.). Vergaberechtskonform müssten demnach das Preiskriterium in Unterkriterien aufgeteilt werden, um den Unterschieden in der Berechnung Rechnung zu tragen und die Bedeutung der Optionen im Verhältnis zum Grundauftrag richtig zu gewichten (Beschwerde, Rz. 102). Die Beschwerdeführerin rügt dabei einen Verstoss gegen die vergaberechtlichen Vorgaben namentlich auch in Bezug auf das Preisblatt. Den Optionen 1 und 2 komme durch die vorgegebene Multiplikation des Stundensatzes mit insgesamt 1,6 Mio. auftraggeberseitig geschätzten Stunden eine dermassen grosse Bedeutung zu, dass nach der Auffassung der Beschwerdeführerin in Tat und Wahrheit alle anderen Positionen wie die Grundleistung und die Optionen 3-6 bei der Punktevergabe des Kriteriums Preis (ZK 1) im Ergebnis nicht ins Gewicht fallen (Beschwerde, Rz. 96 ff. und 104 ff.).</w:t>
      </w:r>
    </w:p>
    <w:p>
      <w:r>
        <w:rPr>
          <w:b/>
        </w:rPr>
        <w:t>E. 4.3</w:t>
      </w:r>
    </w:p>
    <w:p>
      <w:r>
        <w:t>Die Vergabestelle führt dazu aus, das Preisblatt sehe vor, dass die Anbieter je nach Leistung entweder einen Fixpreis oder einen Stundenansatz offerieren sollen. Ein Fixpreis sei für Leistungen - wie insbesondere die Erstellung von Konzepten (Grundleistung sowie Option 3) - gewählt worden bei denen die Anbieter aufgrund der Unterlagen ohne Weiteres in der Lage seien, ein sachgerechtes Angebot einzureichen. Insbesondere bei den Energieberatungsdienstleistungen (Optionen 1 und 2) habe die Vergabestelle hingegen einen stundenbasierten Ansatz gewählt und zudem mit 1,6 Millionen eine fixe Anzahl Stunden vorgegeben. Diese Stundenangaben würden auf den im heutigen Zeitpunkt maximal zu erwartenden 15'000 Zielvereinbarungen basieren (Vernehmlassung, Rz. 21). Ausserdem sei die Qualität mit Blick auf die Komplexität des Auftrages hoch gewichtet worden: Die gewählte Preisbewertung von 30 Prozent liege über der vom Bundesgericht verlangten Mindestgewichtung des Preises von 20 Prozent (Vernehmlassung, Rz. 22). Zur Rüge der Beschwerdeführerin, wonach die Preisbildung via Stundensätze der Berater insbesondere für die Optionen 1 und 2 einen falschen Anreiz setzt im Sinne einer Preisdumpingstrategie, weist die Vergabestelle darauf hin, dass die Vergabestelle im Falle eines Extremszenarios die Spekulationsofferten sowie Dumpingangebote allenfalls ausschliessen könnte bzw. müsste (Vernehmlassung, Rz. 49). Der Preis für die (nicht von den Anbieterinnen selbst erbrachten) Energieberatungsdienstleistungen sei tatsächlich sehr gewichtig und dies solle in den Ausschreibungsunterlagen auch entsprechend abgebildet werden. Ob der Preis nun wie vorliegend mittels eines einzigen Zuschlagskriteriums, mittels zusätzlicher Unterkriterien oder mittels verschiedener Zuschlagskriterien bewertet werde, liege im Ermessen der Vergabestelle und könne somit von der Beschwerdeführerin nicht gerügt werden (Vernehmlassung, Rz. 52).</w:t>
      </w:r>
    </w:p>
    <w:p>
      <w:r>
        <w:rPr>
          <w:b/>
        </w:rPr>
        <w:t>E. 5.1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GALLI/MOSER/ LANG/Steiner, a.a.O., Rz. 1388 und 1390 mit Hinweisen).</w:t>
      </w:r>
    </w:p>
    <w:p>
      <w:r>
        <w:rPr>
          <w:b/>
        </w:rPr>
        <w:t>E. 5.2</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(BVGE 2018 IV/2 E. 7.3 "Produkte zur Innenreinigung I"; Urteil des BVGer B-5681/2015 vom 18. Mai 2016 E. 4.1 f. "Bewirtschaftung Anschlussgeleise", mit Hinweis auf den Entscheid der BRK 2001-003 vom 5. Juli 2001, in: VPB 65.94, E. 3d i.V.m. E. 5a/ee; MARC STEINER, Das Verfahren vor Bundesverwaltungsgericht in Vergabesachen, in: Leupold et al. (Hrsg.), Der Weg zum Recht, Festschrift für Alfred Bühler, Zürich 2008, S. 405 ff., insb. S. 410).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"6-Streifen-Ausbau Härkingen-Wiggertal"; Oliver Zibung/Elias Hofstetter, in: Waldmann/Weissenberger (Hrsg.), Praxiskommentar VwVG, 2. Auflage, Zürich 2016, Art. 49 N. 32 f. mit Hinweisen; André Moser/Michael Beusch/Lorenz Kneubühler, Prozessieren vor dem Bundesverwaltungsgericht, 2. Auflage, Basel 2013, N. 2.185 f. mit Hinweisen).</w:t>
      </w:r>
    </w:p>
    <w:p>
      <w:r>
        <w:rPr>
          <w:b/>
        </w:rPr>
        <w:t>E. 5.3</w:t>
      </w:r>
    </w:p>
    <w:p>
      <w:r>
        <w:t>Die Zuschlagskriterien und ihre Beurteilungsmatrix sind gemäss Art. 27 Abs. 1 VöB im Voraus bekannt zu geben (vgl. zum Preis BVGE 2018 IV/2 E. 7.3 "Produkte zur Innenreinigung I"). Dazu gehört auch die Bekanntgabe von Subkriterien, soweit diese nicht ausschliesslich dazu dienen, ein publiziertes Kriterium zu konkretisieren (Zwischenentscheid des BVGer B-879/2020 vom 26. März 2020 E. 6.3.1 "Produkte zur Aussenreinigung II"; Urteil des BVGer B-6837/2010 vom 10. März 2011 E. 3.2 "Lüftung Belchentunnel").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6.1</w:t>
      </w:r>
    </w:p>
    <w:p>
      <w:r>
        <w:t>Wie bereits im Sachverhalt (Bst. A) erwähnt ist der Gegenstand der Ausschreibung für das streitgegenständliche Los Nr. 1 die Abwicklung der Zielvereinbarungen für drei Beraterpools. Den Grundauftrag beschreibt die Vergabestelle mit "Konzeptionierung der Energieberaterpools" (Vernehmlassung, Rz. 3) inkl. die Konzeptionierung einer "Koordinationsstelle" für den Pool. Es sollen gestützt auf die vorliegend strittige Ausschreibung drei Beraterpools organisiert werden, die zueinander im Wettbewerb stehen. Dementsprechend ist gemäss Ziff. 6.1 des Pflichtenhefts ("Evaluationsphasen") vorgesehen, dass die drei gültigen Angebote mit der höchsten Punktzahl den Zuschlag erhalten. Die Beraterpools wiederum vereinigen unter ihrem Dach Energieberater, die als Fachspezialisten die Beratungsdienstleistungen zur Steigerung der Energieeffizienz und Verminderung von CO2-Emissionen bei den Unternehmen in der ganzen Schweiz erbringen (vgl. Ziff. 2.6 Ausschreibung). Mit anderen Worten gibt es keine Vertragsbeziehung zwischen der Vergabestelle und den einzelnen Energieberaterinnen und -beratern. Unter Ziff. 3.3 des Pflichtenhefts wird unter "Gegenstand Los 1: Beraterpool" ausgeführt was folgt: "(...) Die Bedarfsstelle beschafft, gestützt auf die Energie- und C02-Gesetzgebung, drei Beraterpools. Die jeweils drei gültigen Angebote mit der höchsten Punktzahl erhalten den Zuschlag. Die Beraterpools vereinigen unter ihrem Dach Energieberater, die als Fachspezialisten die Beratungsdienstleistungen zur Steigerung der Energieeffizienz und Verminderung von C02-Emissionen bei den Unternehmen in der ganzen Schweiz erbringen. Die Beraterpools organisieren und koordinieren die Arbeiten der Energieberater. Die Energieberater betreuen die Unternehmen insbesondere bei der Erarbeitung der Zielvereinbarungen und beim jährlichen Monitoring. Die Energieberater sind für die quantitative und qualitative Güte der Zielvereinbarungen verantwortlich. Die Koordinationsstelle des Beraterpools stellt sicher, dass die Qualitätssicherung in einem ausreichenden Umfang durchgeführt und bei Bedarf wiederholt wird. Der Zuschlag für die Konzeptionierung des Beraterpools gewährleistet nicht den Erhalt von Aufträgen für die Erarbeitung von Zielvereinbarungen. Die Beraterpools stehen untereinander im Wettbewerb und es ist nicht vorgesehen, die Anzahl Zielvereinbarungen gleichmässig auf die einzelnen Beraterpools aufzuteilen. Den Unternehmen steht es frei, bei den Beraterpools Offerten einzuholen und den von ihnen gewünschten Beraterpool bzw. Energieberater mit den gewünschten Beratungsdienstleistungen zu beauftragen. Zudem müssen Unternehmen, welche eine Zielvereinbarung abgeschlossen haben, den Energieberater bzw. den Beraterpool innerhalb einer angemessenen Kündigungsfrist wechseln können."</w:t>
      </w:r>
    </w:p>
    <w:p>
      <w:r>
        <w:rPr>
          <w:b/>
        </w:rPr>
        <w:t>E. 6.2</w:t>
      </w:r>
    </w:p>
    <w:p>
      <w:r>
        <w:t>Ziff. 3.3.2 des Pflichtenhefts sieht für die Grundleistung bzw. die Abrechnung des Aufwands folgendes vor: "Die Grundleistung umfasst vorliegend die Konzeptionierung des Beraterpools und einer Koordinationsstelle. (...). Der Beraterpool und die Koordinationsstelle müssen sich nach Abnahme des Konzeptes selbst finanzieren können. Sämtliche Kosten (inklusive Bereitschaft für Anfragen etc.), die im Zusammenhang mit dem Betrieb des Beraterpools und der Tätigkeit der Energieberater anfallen, müssen den Unternehmen direkt in Rechnung gestellt werden. Die Kosten müssen den Unternehmen verursachergerecht nach Aufwand verrechnet werden. Für die jeweilige Offerte und Rechnungsteilung an die Unternehmen gelten die im Angebot angegebenen maximalen Stundensätze. Die Energieberater ihrerseits stellen für ihre Leistungen Rechnung an den Beraterpool oder sind durch diesen angestellt. [...]"</w:t>
      </w:r>
    </w:p>
    <w:p>
      <w:r>
        <w:rPr>
          <w:b/>
        </w:rPr>
        <w:t>E. 6.3</w:t>
      </w:r>
    </w:p>
    <w:p>
      <w:r>
        <w:t>Als Option 1 wird der Betrieb des Beraterpools vom 1. Januar 2021 bis zum 31. Dezember 2024 im Pflichtenheft beschrieben (Positionen 1.1.1, 1.1.2 und 1.1.3). Dazu gehören die Bereitschaft des Beraterpools bei Anfragen für die Erarbeitung von Zielvereinbarungen oder die Durchführung des Monitorings (Position 1.1.1 des Preisblatts). Die Option 2 besteht in der Verlängerung des Betriebs des Beraterpools um weitere zwei Jahre. Die Option 1 und 2 werde in Ziffer 3.3.3 des Pflichtenhefts namentlich in Bezug auf die Aufwandschätzung wie folgt beschrieben: "Pos 1.1.1 Bereitschaft des Beraterpools bei Anfragen für die Erarbeitung von Zielvereinbarungen oder die Durchführung von Monitorings anhand Konzept Pos. 1.0.1 [...] Der Aufwand für die Option 1 (von 01.01.2021 bis 31.12.2024) und Option 2 (von 01.01.2025 bis 31.12.2026) soll sich wie in Tabelle 4 berechnen. Tabelle 4: Aufwandschätzung der Anzahl Zielvereinbarungen pro Typ. Typ Zielvereinbarung Massnahmen-Modell (MNM) Effizienz-Modell (EFM) Optionen Option 1 Option 2 Option 1 Option 2 Anzahl ZV im Jahr 2021 3'000 2'000 Anzahl ZV im Jahr 2024 8'400 8'400 2'600 2'600 Anzahl ZV im Jahr 2026 12'000 3'000 Energieberatung in h 480'000 330'000 504'000 231'000 (...) Pos. 1.1.3 Beratung, Begleitung und Erstellung der Zielvereinbarungen und Monitorings durch die Energieberater anhand Konzept Die Aufwände für die Beratungsdienstleistungen der Energieberater für die Begleitung zur Erarbeitung der Zielvereinbarungen und Monitoringberichte und die Qualitätssicherung der Zielvereinbarungen und der Monitoringberichte gemäss Konzept (Grundleistung Los 1, Pos. 1.0.1) ist in dieser Position enthalten. Der maximale Stundensatz der Energieberater ist anzugeben inklusive Bereitschaft des Beraterpools bei Anfragen für die Erarbeitung von Zielvereinbarungen oder Durchführung von Monitorings sowie sämtlicher für das Unternehmen anfallender Spesen, exkl. Umlagekosten (siehe Pflichtenheft 3.4.2). Die Kosten für die Koordinationsstelle müssen auf das Beraterhonorar umgelegt werden. Abnahmekriterien: Energieberater stehen in einer genügenden Anzahl einsatzbereit zur Verfügung, um die anstehenden Aufträge innert einer angemessenen Frist abzuarbeiten."</w:t>
      </w:r>
    </w:p>
    <w:p>
      <w:r>
        <w:rPr>
          <w:b/>
        </w:rPr>
        <w:t>E. 6.4</w:t>
      </w:r>
    </w:p>
    <w:p>
      <w:r>
        <w:t>Das Preisblatt sieht für das Los Nr. 1 auszugsweise wie folgt aus: Pos. Grundleistung Einheit Maximaler Stundensatz exkl. MWST Anzahl Stunden Total in CHF exkl. MWST 1.0.1 Konzeptionierung Beraterpool inkl. Aus- und Weiterbildung der angehenden Energieberater Fixpreis - Pos. Option 1: Betrieb Beraterpool Einheit Maximaler Stundensatz exkl. MWST Maximale Anzahl Total in CHF exkl. MWST</w:t>
      </w:r>
    </w:p>
    <w:p>
      <w:r>
        <w:rPr>
          <w:b/>
        </w:rPr>
        <w:t>E. 6.5</w:t>
      </w:r>
    </w:p>
    <w:p>
      <w:r>
        <w:t>Zusammenfassend ergibt sich demnach, dass der Grundauftrag zum Fixpreis zulasten der Vergabestelle zu offerieren ist, wogegen sich der Preis für die Optionen 1 und 2 aus der Multiplikation einer Anzahl auftraggeberseitig geschätzter Stunden mit dem angebotenen Honorar ergibt. Das Honorar ist dabei dasjenige, das die vom Beraterpool unter Vertrag genommenen Energieberater den Unternehmen nach dem Konzept der Anbieterin in Rechnung stellen. Finanziert werden die offerierten Stunden demnach nicht von der Vergabestelle, sondern von den beratenen Unternehmen.</w:t>
      </w:r>
    </w:p>
    <w:p>
      <w:r>
        <w:rPr>
          <w:b/>
        </w:rPr>
        <w:t>E. 7.1</w:t>
      </w:r>
    </w:p>
    <w:p>
      <w:r>
        <w:t>Die Beschwerdeführerin beruft sich (wie bereits im Verfahren B-1185/2020) in Bezug auf die von ihr vertretene Auffassung, wonach die ausgeschriebenen Leistungen nach Stundenansätzen in Option 1 (wie auch 2) im Verhältnis zum Grundauftrag nur unterordnet gewichtet werden dürfen, wogegen diesen ihrer Auffassung nach unter dem Zuschlagskriterium ZK 1 tatsächlich ein grösseres Gewicht zukommt als dem Grundauftrag, der vom Bund bezahlt wird (vgl. E. 4.2 hiervor), namentlich auf Ausführungen von Claudia Schneider Heusi. Diese Autorin geht davon aus, dass die Vergabestelle innerhalb des eigentlichen Angebotspreises zwischen verschiedenen Kostenelementen unterscheiden kann. Sie habe hier vorzugeben, welche Leistungen nach welcher Vergütungsart (Aufwand, pauschal/global etc.) zu offerieren sind, ob und welche Zuschläge auszuweisen sind usw. Sie habe mit anderen Worten in ihren Ausschreibungsunterlagen die für die Offertstellung und spätere Vertragserfüllung massgebenden Preisbildungsregeln zu nennen. Welche Regeln die Vergabestelle dabei vorgebe, liege in ihrer Kompetenz, solange sie dabei nicht gegen das Diskriminierungsverbot verstosse. Möglich sei dabei, dass die Vergabestelle das Kriterium Angebotspreis in einzelne Unterkriterien unterteile, entsprechend den Komponenten der offerierten Entschädigung für die Hauptleistung sowie für Zusatzleistungen (Stundenaufwand, Regieansätze). Allerdings habe sie hier dem Verhältnis dieser Leistungen Rechnung zu tragen. Wolle die Auftraggeberin zum Beispiel bei Werkleistungen nebst der Hauptvergütung zusätzlich Regieansätze bewerten, so habe sie dieses Preiselement als separates Unterkriterium zu benennen. Sie habe bei der Gewichtung den späteren mutmasslichen Umfang möglicher Regieleistungen zu berücksichtigen und dürfe dieses Unterkriterium vergleichsweise nur untergeordnet gewichten. Je unbestimmter die Vergabestelle in den Ausschreibungsunterlagen eine Option darstelle bzw. je mehr sie die Auslösung der Optionen offenlasse, umso weniger sei ein Optionspreis in die Bewertung miteinzubeziehen (Claudia Schneider Heusi, Die Bewertung des Preises, in: Zufferey/Beyeler/Scherler [Hrsg.], Aktuelles Vergaberecht 2018, Zürich 2018, S. 335 f.; vgl. Zwischenentscheid des BVGer B-1185/2020 vom 7. Mai 2020 E. 7.6.1).</w:t>
      </w:r>
    </w:p>
    <w:p>
      <w:r>
        <w:rPr>
          <w:b/>
        </w:rPr>
        <w:t>E. 7.2</w:t>
      </w:r>
    </w:p>
    <w:p>
      <w:r>
        <w:t>Gemäss dem Anforderungskatalog in Verbindung mit Ziff. 6.2 des Pflichtenhefts ("Bewertung der Preise und Kosten") wird der massgebliche Gesamtpreis für die Bewertung unter Zuschlagskriterium ZK 1 "Preis" aus dem Grundauftrag mit den Optionen anhand folgender Formel ermittelt: "Zuschlagskriterium Preis Bewertet wird pro Angebot der massgebliche Gesamtpreis für die Punktevergabe. Dieser wird wie folgt berechnet: Massgeblicher Gesamtpreis für Bewertung = Kosten des ausgeschriebenen Beschaffungsvolumens (Grundauftrag + Option) Im Vergleich aller Anbieter erhält das jeweils tiefste Angebot die maximale Punktzahl. Die Punktevergabe erfolgt gemäss der folgenden Formel: P =Preis des zu bewertenden Angebots Pmin = Preis des tiefsten zulässigen Angebots Pmax = Preis, bei welchem die Preiskurve den Nullpunkt schneidet (Pmin*200%) Maximal 300 Punkte für den Preis Pmin = 1'200 CHF (...)"</w:t>
      </w:r>
    </w:p>
    <w:p>
      <w:r>
        <w:rPr>
          <w:b/>
        </w:rPr>
        <w:t>E. 7.2.1</w:t>
      </w:r>
    </w:p>
    <w:p>
      <w:r>
        <w:t>Im Gegensatz zum mit Zwischenentscheid des BVGer vom 7. Mai 2020 im Verfahren B-1185/2020 beurteilten Sachverhalt ist nach dem vorliegend zu beurteilenden Konzept prima facie zumindest sehr wahrscheinlich, dass die Option 1 bezogen werden wird, womit diese Option für die Bewertung von Zuschlagskriterium ZK 1 "Preis" jedenfalls miteinbezogen werden darf, was auch die Beschwerdeführerin nicht bestreitet (vgl. dazu auch E. 7.3 hiernach). Dasselbe gilt wohl auch für die Option 2, die gemäss Pflichtenheft "ausgelöst wird, sofern sämtliche unter Anhang 001 eingefügten Eignungskriterien immer noch erfüllt werden".</w:t>
      </w:r>
    </w:p>
    <w:p>
      <w:r>
        <w:rPr>
          <w:b/>
        </w:rPr>
        <w:t>E. 7.2.2</w:t>
      </w:r>
    </w:p>
    <w:p>
      <w:r>
        <w:t>Auffallend ist vorliegend indessen das Verhältnis zwischen dem Grundauftrag einerseits und den Optionen 1 und 2 andererseits. Wird für die Optionen 1 und 2 beispielsweise ein - auch nach den Ausführungen der Vergabestelle jedenfalls nicht exorbitant hoher - Stundenansatz von Fr. 150.- zugrunde gelegt, ergibt die Multiplikation mit der auftraggeberseitig geschätzten Million an aufzuwendenden Stunden bereits 150 Mio. Franken. Für die Verlängerung unter Option 2 beträgt der Aufwand nochmals 600'000 Stunden, was nach dem Stundenansatz von Fr. 150.- nochmals 90 Mio. Franken ausmacht (vgl. Preisblatt unter E. 6.4 hiervor). Dagegen könnte der Grundauftrag gemäss der Schätzung der Vergabestelle möglicherweise sogar unterschwellig und damit zu einem Preis von unter Fr. 230'000.- angeboten werden (vgl. Telefonnotiz vom 12. Mai 2020). Durch die Hinzurechnung des Optionspreises für Optionen 1 und 2 hat die Vergabestelle den Optionen unter dem Zuschlagskriterium ZK 1 faktisch eine deutlich grössere Gewichtung eingeräumt als dem Grundauftrag. Das steht prima facie möglicherweise in einem gewissen Widerspruch zum Umstand, dass der Konzeptionierung des Beraterpools, welche als Grundauftrag definiert ist, nach den Angaben eine nicht zu unterschätzende Bedeutung zukommt. Kommt hinzu, dass offensichtlich unterschiedliche Berechnungsarten für die verschiedenen Preiselemente zur Anwendung kommen. Während der Grundauftrag sowie die Optionen 3 und 6 zum Fixpreis anzubieten sind, sind die Optionen 1, 2, 4 und 5 durch Multiplikation von Stundenansatz für die Energieberatungsdienstleistungen mit der geschätzten Anzahl Stunden zu ermitteln (vgl. das Preisblatt [E. 6.4 hiervor] sowie die Vernehmlassung, Rz. 44). In diesem Zusammenhang ist darauf hinzuweisen, dass Preis und Kosten keine Synonyme sind (Schneider Heusi, a.a.O., S. 330). Davon geht wohl auch die Vergabestelle aus, wenn sie ausführt, die Wirtschaftlichkeit der Angebote könne nur durch eine gesamthafte Beurteilung der Kosten ermittelt werden (Vernehmlassung, Rz. 20). Es stellt sich demnach die Frage, ob das Entgelt für die nach Stunden anzubietenden Leistungen unter den Angebotspreis subsumiert werden kann. Dies einerseits, weil die Vergabestelle nicht nur einen eigentlichen Einkaufpreis, sondern eher die Gesamtkosten im Blick hat. Andererseits ist zu berücksichtigen, dass die in Bezug auf die Optionen 1 und 2 zu offerierende Summe auch nicht von der Vergabestelle bezahlt, sondern den die Energieberatungsdienstleistungen beziehenden Unternehmen überwälzt werden soll (Ziff. 3.3.2 des Pflichtenhefts; vgl. E. 6.2 hiervor). Demnach ist prima facie nicht von der Hand zu weisen, dass sich die (aufgrund der Bewertungsmethode) hohe tatsächliche Gewichtung der Optionen 1 und 2 im Vergleich zum Grundauftrag als problematisch erweisen könnte. Vor allem hat die Vergabestelle auch keine Subkriterien für den Preis des Grundauftrags einerseits und den für die Optionen anfallenden finanziellen Aufwand andererseits gebildet, was ihr erlaubt hätte, das gewünschte Gewicht der Optionen im Verhältnis zum Grundauftrag zu bestimmen (vgl. dazu mutatis mutandis den Zwischenentscheid B-1185/2020 vom 7. Mai 2020 E. 7.6.3 "Zielvereinbarungen post 2020 Los 2"). Dabei ist zu berücksichtigen, dass die Grundleistung zum Fixpreis offeriert wird, wogegen namentlich die Optionen 1 und 2 ausschliesslich nach Stundenansätzen zu offerieren waren. Damit erweist sich die Rüge der Beschwerdeführerin, wonach im Rahmen der Bewertung der Offerten anhand des Zuschlagskriterium ZK 1 "Preis" den Optionen im Vergleich zum Grundauftrag eine zu grosse Bedeutung zukommt, als nicht offensichtlich unbegründet. Folglich ist vorliegend auch nicht weiter auf die Frage einzugehen, ob und welche Kostenbestandteile berücksichtigt werden dürfen, wenn es darum geht, die bundesgerichtlich vorgegebene Mindestgewichtung des Preises (vgl. etwa BGE 143 II 553 E. 6.4) sicherzustellen. Demnach wird über die Gewährung der aufschiebenden Wirkung aufgrund einer Interessenabwägung zu entscheiden sein (vgl. E. 3.3 hiervor).</w:t>
      </w:r>
    </w:p>
    <w:p>
      <w:r>
        <w:rPr>
          <w:b/>
        </w:rPr>
        <w:t>E. 7.3</w:t>
      </w:r>
    </w:p>
    <w:p>
      <w:r>
        <w:t>Aufgrund des soeben Gesagten erübrigt es sich im vorliegenden Zusammenhang, auf die weiteren Rügen der Beschwerdeführerin einzugehen. Indessen rechtfertigen sich einige weitere Ausführungen zu den Optionen. Nach dem unter E. 7.2.1 zuvor Gesagten ist prima facie erstellt, dass jedenfalls die Option 1 mit sehr hoher Wahrscheinlichkeit in einem gewissen Umfang bezogen werden wird, da die Vergabestelle die Umsetzung der Bestimmungen zur Rückerstattung des Netzzuschlags bzw. allenfalls auch Rückerstattungen im Zusammenhang mit dem CO2-Zuschlag zu gewährleisten hat, was nur durch den Betrieb des bzw. der Beraterpools erfolgen kann. Damit könnte sich die Frage stellen, ob es sich bei der als Option 1 ausgeschriebenen Leistung tatsächlich um eine Option handelt oder ob der Betrieb des Beraterpools nicht vielmehr hätte als Teil des Grundauftrags ausgeschrieben werden müssen bzw. ob und inwieweit sich dieser Umstand auf die Beurteilung der vorliegenden Ausschreibung auswirkt.</w:t>
      </w:r>
    </w:p>
    <w:p>
      <w:r>
        <w:rPr>
          <w:b/>
        </w:rPr>
        <w:t>E. 8.1</w:t>
      </w:r>
    </w:p>
    <w:p>
      <w:r>
        <w:t>Erweist sich eine Beschwerde prima facie als nicht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3.3 hiervor).</w:t>
      </w:r>
    </w:p>
    <w:p>
      <w:r>
        <w:rPr>
          <w:b/>
        </w:rPr>
        <w:t>E. 8.2</w:t>
      </w:r>
    </w:p>
    <w:p>
      <w:r>
        <w:t>Nicht jedes Beschleunigungsinteresse der Vergabestelle ist als so dringend einzustufen, dass es zur Abweisung der aufschiebenden Wirkung führen müsste. Dabei ist es grundsätzlich Sache der Vergabestelle, sowohl die Dringlichkeit im Allgemeinen als auch gegebenenfalls allfällige gravierende Folgen einer Verzögerung, welche die Nichterteilung der aufschiebenden Wirkung einer Beschwerde begründen sollen, substantiiert darzulegen (Zwischenentscheide des BVGer B-1185/2020 vom 7. Mai 2020 E. 8.2 "Zielvereinbarungen post 2020 Los 2" und B-6160/2017 vom 18. Dezember 2017 E. 14.1 "Laborneubau ETH Basel").</w:t>
      </w:r>
    </w:p>
    <w:p>
      <w:r>
        <w:rPr>
          <w:b/>
        </w:rPr>
        <w:t>E. 8.3</w:t>
      </w:r>
    </w:p>
    <w:p>
      <w:r>
        <w:t>Die Vergabestelle weist auf den Gesamtzusammenhang des Beschaffungsprojekts "Zielvereinbarungen post 2020" hin, der dazu führe, dass die Gewährung der aufschiebenden Wirkung nicht nur die vorliegende Beschaffung, sondern auch die Weiterführung der anderen fünf Lose verzögern würde (Vernehmlassung, Rz. 63). Weiter führt die Vergabestelle aus, nicht nur sie, sondern insbesondere auch die Öffentlichkeit habe ein gewichtiges Interesse daran, dass ein nahtloser Übergang zwischen dem derzeitigen und dem vorliegend zu vergebenden Auftrag gewährleistet sei (Vernehmlassung, Rz. 64). Damit beruft sie sich im Ergebnis auf höherwertige politische Gesichtspunkte, welche das Interesse an der korrekten Anwendung des Vergaberechts überwiegen. Dabei ist der Vergabestelle zuzugeben, dass das Interesse an der überzeugenden Umsetzung des Projekts "Zielvereinbarungen post 2020" gewichtig ist. Nicht zugestimmt werden kann ihr indessen, wenn sie im Ergebnis ausführt, das Interesse der Beschwerdeführerin an der Anfechtung der Ausschreibung sei vernachlässigbar, weil sie ohne Weiteres in der Lage sei, gestützt auf die publizierten Ausschreibungsunterlagen ein Angebot zu erarbeiten und einzureichen (vgl. dazu Vernehmlassung, Rz. 67). Der Beschwerdeführerin ist vielmehr zugute zu halten, dass schon allein die Wahl anderer Bewertungsmethoden für die Zuschlagskriterien es den Anbietern erlauben würde, im Rahmen der Offertstellung andere Schwergewichte zu setzen. Damit braucht nicht weiter auf die Frage eingegangen zu werden, inwieweit der Beschwerdeführerin ausserdem gewisse gerügte Eignungskriterien schaden könnten. Ebenfalls nicht näher zu erörtern ist im vorliegenden Zusammenhang der Umstand, dass seitens des Bundesamtes für Bauten und Logistik im Verfahren B-1185/2020 keine Beschleunigungsinteressen in Bezug auf das Los 1 desselben Projekts vorgetragen worden sind. Zusammenfassend ergibt sich unter Berücksichtigung des Umstands, dass den Interessen der Auftraggeberseite allenfalls später dadurch Rechnung getragen werden kann, dass gegebenenfalls bei erneuter Anfechtung der Ausschreibung oder des nachgelagerten Zuschlags die aufschiebende Wirkung entzogen werden kann, dass die von der Auftraggeberseite geltend gemachten öffentlichen Interessen diejenigen der Beschwerdeführerin und das ebenfalls öffentliche Interesse an effektivem Rechtsschutz (vgl. E. 3.3 in fine) nicht überwiegen.</w:t>
      </w:r>
    </w:p>
    <w:p>
      <w:r>
        <w:rPr>
          <w:b/>
        </w:rPr>
        <w:t>E. 8.4</w:t>
      </w:r>
    </w:p>
    <w:p>
      <w:r>
        <w:t>Nach dem Gesagten ist dem Begehren der Beschwerdeführerin, es sei die aufschiebende Wirkung zu erteilen, in dem Sinne zu entsprechen, dass die Anbietenden den derzeit aufgrund vorsorglicher Anordnung geltenden Offerteingabetermin vom 10. Juli 2020 nicht einhalten müssen. Vielmehr ist dieser gerichtlich zu widerrufen. Die Vergabestelle wiederum ist gehalten, diesen Widerruf umgehend mittels SIMAP-Veröffentlichung und durch die Mitteilung an die ihr bekannten Anbietenden zu kommunizieren. Allenfalls vor Offerteingabetermin eingehende Offerten dürfen einstweilen nicht geöffnet werden.</w:t>
      </w:r>
    </w:p>
    <w:p>
      <w:r>
        <w:rPr>
          <w:b/>
        </w:rPr>
        <w:t>E. 9</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