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B-2433/2013 vom 24. Oktober 2014</w:t>
      </w:r>
    </w:p>
    <w:p>
      <w:r>
        <w:t>Bundesverwaltungsgericht, 2014-10-24, FR</w:t>
      </w:r>
    </w:p>
    <w:p>
      <w:r>
        <w:rPr>
          <w:b/>
        </w:rPr>
        <w:t xml:space="preserve">Quelle: </w:t>
      </w:r>
      <w:r>
        <w:t>https://mcp.opencaselaw.ch/entscheid/bvger_B-2433_2013</w:t>
      </w:r>
    </w:p>
    <w:p>
      <w:r>
        <w:t>FR: TAF B-2433/2013 du 24 octobre 2014</w:t>
      </w:r>
    </w:p>
    <w:p>
      <w:r>
        <w:t>IT: TAF B-2433/2013 del 24 ottobre 2014</w:t>
      </w:r>
    </w:p>
    <w:p>
      <w:pPr>
        <w:pStyle w:val="Heading2"/>
      </w:pPr>
      <w:r>
        <w:t>Regeste</w:t>
      </w:r>
    </w:p>
    <w:p>
      <w:r>
        <w:t>Acte illicite (LB, LBVM, LPCC)</w:t>
      </w:r>
    </w:p>
    <w:p>
      <w:pPr>
        <w:pStyle w:val="Heading2"/>
      </w:pPr>
      <w:r>
        <w:t>Erwägungen</w:t>
      </w:r>
    </w:p>
    <w:p>
      <w:r>
        <w:rPr>
          <w:b/>
        </w:rPr>
        <w:t>E. 6</w:t>
      </w:r>
    </w:p>
    <w:p>
      <w:r>
        <w:t>Outre le fait qu'ils nient avoir accepté en Suisse des dépôts du public, les recourants estiment que la publication des ch. 9 et 10 de la décision par la FINMA n'est justifiée par aucun intérêt public et porte une atteinte illicite au droit de la personnalité du recourant. La FINMA pour sa part explique que l'activité non autorisée exercée par les recourants constitue une violation grave des dispositions du droit de la surveillance ; les intérêts protégés par la surveillance des marchés financiers l'emportent sur celui des recourants à éviter des effets négatifs sur la réputation de B._______.</w:t>
      </w:r>
    </w:p>
    <w:p>
      <w:r>
        <w:rPr>
          <w:b/>
        </w:rPr>
        <w:t>E. 6.1</w:t>
      </w:r>
    </w:p>
    <w:p>
      <w:r>
        <w:t>L'interdiction enjointe à B._______ d'accepter lui-même directement ou sous quelque forme que ce soit des dépôts du public à titre professionnel ainsi que de faire de la publicité à cet effet ne rappelle qu'une interdiction légale préexistante. Une telle mesure constitue, de jurisprudence constante, un "effet réflexe" de la constatation de l'exercice des activités illégales (cf. arrêt du TF 2C_30/2011 et 2C_543/2011 du 12 janvier 2012 consid 5.1). Compte tenu des agissements du recourant, le prononcé de cette interdiction et l'avertissement des sanctions qu'il encourt en cas de violation s'avèrent pleinement conformes au droit et ne sauraient être remis en cause.</w:t>
      </w:r>
    </w:p>
    <w:p>
      <w:r>
        <w:rPr>
          <w:b/>
        </w:rPr>
        <w:t>E. 6.2</w:t>
      </w:r>
    </w:p>
    <w:p>
      <w:r>
        <w:t>En cas de violation grave du droit de la surveillance, la FINMA peut publier sa décision finale, y compris les données personnelles des assujettis concernés, sous forme électronique ou écrite, à compter de son entrée en force ; la publication doit être ordonnée dans la décision elle même (art. 34 LFINMA). Un tel procédé de "naming and shaming" constitue une atteinte aux droits de la personnalité des personnes concernées qui respectera notamment le principe de la proportionnalité ; l'intérêt public à garantir le bon fonctionnement des marchés financiers et à protéger les déposants doit ainsi l'emporter sur celui de ces personnes à ne pas souffrir des inconvénients de la publication (cf. arrêt du TF 2C_30/2011 et 2C_543/2011 du 12 janvier 2012 consid 5.2.1 et les réf. cit.). L'exercice d'une activité bancaire sans autorisation constitue en principe une violation grave du droit de la surveillance justifiant la publication à moins que certains motifs ne s'y opposent, tels un rôle secondaire dans le cadre des activités litigieuses ou des circonstances particulières indiquant que ces personnes se conformeront à la loi à l'avenir (cf. arrêt du TF 2C_30/2011 et 2C_543/2011 du 12 janvier 2012 consid 5.2.2 et les réf. cit.). En l'espèce, il appert que B._______ a tenté d'organiser ses activités de manière à échapper à toute surveillance et ne se montre pas enclin à y renoncer à l'avenir. Il est vrai que les recourants ont approché la FINMA à deux reprises, le 23 juin 2011 par le biais de D._______ et le 23 février 2012 par celui de leur avocat, en demandant des renseignements afin de ne pas entrer en conflit avec le droit suisse ; il n'en demeure pas moins qu'ils avaient déjà à cette époque entamé leur activité - illicite faute d'autorisation adéquate - qu'ils n'ont pas interrompue ou adaptée alors même que la FINMA les a prévenus que l'existence d'une succursale entraînerait l'application du droit suisse. B._______ ne peut ainsi rien tirer de ces démarches en sa faveur. Le chiffre d'affaires généré par le négoce de devises au travers de A._______ se monte à plus de USD 16 millions. Les dépôts des clients étaient rassemblés sur des comptes ouverts par A._______ que le recourant utilisait pour couvrir ses propres dépenses, notamment des frais de voyage. Il a lui-même déclaré qu'il estimait que ces avoirs appartenaient en réalité à la société et non aux clients (cf. audition en qualité de prévenu de B._______, op. cit., p. 9) ce qui souligne le peu de soin qu'il accordait aux intérêts de ces derniers. Pour ces raisons, les violations commises par le recourant doivent être qualifiées de graves. Par conséquent, la publication des ch. 9 et 10 de la décision attaquée pour la durée de cinq années est entièrement justifiée.</w:t>
      </w:r>
    </w:p>
    <w:p>
      <w:r>
        <w:rPr>
          <w:b/>
        </w:rPr>
        <w:t>E. 6.3</w:t>
      </w:r>
    </w:p>
    <w:p>
      <w:r>
        <w:t>En conclusion, les griefs des recourants à l'encontre de l'interdiction faite au recourant d'accepter des dépôts du public à titre professionnel et de sa publication doivent être rejetés.</w:t>
      </w:r>
    </w:p>
    <w:p>
      <w:r>
        <w:rPr>
          <w:b/>
        </w:rPr>
        <w:t>E. 7</w:t>
      </w:r>
    </w:p>
    <w:p>
      <w:r>
        <w:t>Les recourants déclarent que les frais de procédure, par 96'300 francs, prononcés par la FINMA ainsi que les coûts engendrés par la défense de leurs intérêts en raison de l'intervention d'après eux injustifiée de celle-ci absorberaient l'essentiel des avoirs de la société en Suisse. Pour le reste, ils ne semblent pas remettre en question le montant des frais de procédure. Il suffit donc de constater brièvement que la perception de ces derniers est valablement fondée sur les art. 5 al. 1 let. a et 8 de l'ordonnance sur les émoluments et les taxes de la FINMA du 15 octobre 2008 (Oém-FINMA, RS 956.122) en relation avec l'art. 15 FINMA (cf. arrêt du TAF B-5087/2010 du 1er mars 2011 consid. 3). Ne s'agissant en l'occurrence pas d'une procédure pour laquelle des tarifs-cadres sont fixés dans l'annexe de l'ordonnance, l'émolument est calculé en fonction du temps consacré et de l'importance de l'affaire pour la personne assujettie (art. 8 al. 3 Oém-FINMA). Le montant arrêté par la FINMA ne semble pas exagéré compte tenu des caractéristiques du cas d'espèce : l'examen des opérations des recourants par la FINMA a nécessité notamment la consultation des actes de la procédure pénale, des demandes de renseignements auprès des banques ainsi que l'audition de C._______.</w:t>
      </w:r>
    </w:p>
    <w:p>
      <w:r>
        <w:rPr>
          <w:b/>
        </w:rPr>
        <w:t>E. 8</w:t>
      </w:r>
    </w:p>
    <w:p>
      <w:r>
        <w:t>S'agissant de la requête d'apport de la procédure pénale formulée par les recourants, il convient de rappeler que le Tribunal n'est pas lié par les offres de preuves des parties (art. 33 al. 1 PA) et peut se limiter à ce qui lui paraît pertinent. La jurisprudence admet que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136 I 229 consid. 5.3 et les réf. cit.). La FINMA a déjà repris une partie du dossier du MPC dans le sien. L'état de fait étant suffisamment établi en l'espèce, il n'appert pas que la production de l'ensemble des pièces de la procédure pénale conduirait le Tribunal de céans à des conclusions différentes. Il peut donc y être renoncé.</w:t>
      </w:r>
    </w:p>
    <w:p>
      <w:r>
        <w:rPr>
          <w:b/>
        </w:rPr>
        <w:t>E. 9</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7'000 francs, doivent être intégralement mis à leur charge à hauteur de 3'500 francs chacun. Ils seront compensés par les avances de frais de 7'000 francs versées par les recourants dès l'entrée en force du présent arrêt.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