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B-2408/2025 vom 15. April 2026</w:t>
      </w:r>
    </w:p>
    <w:p>
      <w:r>
        <w:t>Bundesverwaltungsgericht, 2026-04-15, FR</w:t>
      </w:r>
    </w:p>
    <w:p>
      <w:r>
        <w:rPr>
          <w:b/>
        </w:rPr>
        <w:t xml:space="preserve">Quelle: </w:t>
      </w:r>
      <w:r>
        <w:t>https://mcp.opencaselaw.ch/entscheid/bvger_B-2408_2025</w:t>
      </w:r>
    </w:p>
    <w:p>
      <w:r>
        <w:t>FR: TAF B-2408/2025 du 15 avril 2026</w:t>
      </w:r>
    </w:p>
    <w:p>
      <w:r>
        <w:t>IT: TAF B-2408/2025 del 15 aprile 2026</w:t>
      </w:r>
    </w:p>
    <w:p>
      <w:pPr>
        <w:pStyle w:val="Heading2"/>
      </w:pPr>
      <w:r>
        <w:t>Regeste</w:t>
      </w:r>
    </w:p>
    <w:p>
      <w:r>
        <w:t>Reconnaissance de certificat/formation</w:t>
      </w:r>
    </w:p>
    <w:p>
      <w:pPr>
        <w:pStyle w:val="Heading2"/>
      </w:pPr>
      <w:r>
        <w:t>Erwägungen</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il y a lieu d'arrêter les frais de procédure à 1'000 francs et de les mettre à la charge de la recourante qui succombe. Ceux-ci sont compensés par l'avance de frais, du même montant, versée par la recourante le 29 avril 2025. Compte tenu de l'issue de la procédure, la recourante n'a pas droit à des dépens (art. 64 al. 1 PA et art. 7 al. 1 FITAF a contrario).</w:t>
      </w:r>
    </w:p>
    <w:p>
      <w:r>
        <w:rPr>
          <w:b/>
        </w:rPr>
        <w:t>E. 10</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