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B-2374/2007 vom 10. März 2008</w:t>
      </w:r>
    </w:p>
    <w:p>
      <w:r>
        <w:t>Bundesverwaltungsgericht, 2008-03-10, DE</w:t>
      </w:r>
    </w:p>
    <w:p>
      <w:r>
        <w:rPr>
          <w:b/>
        </w:rPr>
        <w:t xml:space="preserve">Quelle: </w:t>
      </w:r>
      <w:r>
        <w:t>https://mcp.opencaselaw.ch/entscheid/bvger_B-2374_2007</w:t>
      </w:r>
    </w:p>
    <w:p>
      <w:r>
        <w:t>FR: TAF B-2374/2007 du 10 mars 2008</w:t>
      </w:r>
    </w:p>
    <w:p>
      <w:r>
        <w:t>IT: TAF B-2374/2007 del 10 marzo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Verwaltungsbeschwerde ist daher einzutreten.</w:t>
      </w:r>
    </w:p>
    <w:p>
      <w:r>
        <w:rPr>
          <w:b/>
        </w:rPr>
        <w:t>E. 2</w:t>
      </w:r>
    </w:p>
    <w:p>
      <w:r>
        <w:t>Nach Art. 5 Abs. 1 des Madrider Abkommens über die internationale Registrierung von Marken, revidiert in Stockholm am 14. Juli 1967 (MMA, SR 0.232.112.3) darf ein Verbandsland einer international registrierten Marke den Schutz nur verweigern, wenn nach den in der Pariser Verbandsübereinkunft zum Schutz des gewerblichen Eigentums, revidiert in Stockholm am 14. Juli 1967 (PVÜ, SR 0.232.04) genannten Bedingungen ihre Eintragung in das nationale Register verweigert werden kann. Das trifft gemäss Art. 6quinquies Bst. B Ziff. 2 PVÜ namentlich dann zu, wenn die Marke jeder Unterscheidungskraft entbehrt und als Gemeingut anzusehen ist. Dieser Ausschlussgrund ist auch im Bundesgesetz vom 28. August 1992 über den Schutz von Marken und Herkunftsangaben (Markenschutzgesetz, MschG, SR 232.11) vorgesehen, das in Art. 2 Bst. a MSchG Zeichen, die Gemeingut sind, unter Vorbehalt der Verkehrsdurchsetzung vom Markenschutz ausschliesst (vgl. Urteil des Bundesgerichts 4A.15/2006 vom 13. Dezember 2006 E. 2, mit Verweis auf BGE 128 III 454 E. 2 - Yukon). Diesen Zeichen fehlt die erforderliche Unterscheidungskraft oder es besteht an ihnen ein Freihaltebedürfnis. Mit Bezug auf Formen gelten insbesondere als Gemeingut einfache geometrische Grundelemente sowie Formen, die weder in ihren Elementen noch in ihrer Kombination vom Erwarteten und Gewohnten abweichen und daher mangels Originalität im Gedächtnis der Abnehmer nicht haften bleiben (BGE 133 III 342 E. 3.1 - Verpackungsbehälter aus Kunststoff, BGE 129 III 514 E. 4.1 - Lego, BGE 120 II 307 E. 3b - The Original).</w:t>
      </w:r>
    </w:p>
    <w:p>
      <w:r>
        <w:rPr>
          <w:b/>
        </w:rPr>
        <w:t>E. 3</w:t>
      </w:r>
    </w:p>
    <w:p>
      <w:r>
        <w:t>In formeller Hinsicht rügt die Beschwerdeführerin, die angefochtene Verfügung lasse jegliche Stellungnahme zur Unterscheidungskraft des Verschlusses der hinterlegten Marke vermissen. Damit macht sie sinngemäss geltend, ihr Anspruch auf rechtliches Gehör (Art. 29 Abs. 2 BV, SR 101) sei verletzt worden.</w:t>
      </w:r>
    </w:p>
    <w:p>
      <w:r>
        <w:rPr>
          <w:b/>
        </w:rPr>
        <w:t>E. 3.1</w:t>
      </w:r>
    </w:p>
    <w:p>
      <w:r>
        <w:t>Das rechtliche Gehör verlangt, dass die Behörde die Vorbringen des vom Entscheid in seiner Rechtsstellung Betroffenen auch tatsächlich hört, prüft und in der Entscheidfindung berücksichtigt (Urteil des Bundesgerichts 4A.15/2006 vom 13. Dezember 2006 E. 4.1, mit Verweis auf BGE 124 I 241 E. 2 und BGE 124 I 49 E. 3a). Daraus folgt die Verpflichtung der Behörde, ihren Entscheid zu begründen.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130 II 530 E. 4.3, BGE 129 I 232 E. 3.2, BGE 126 I 97 E. 2b). Die verfassungsrechtlich geforderte Begründungsdichte ist nicht einheitlich festgelegt. Unter anderem gilt aber, dass umso höhere Anforderungen an die Begründung eines Entscheids zu stellen sind, je grösser der Spielraum ist, welcher der Behörde infolge Ermessen und unbestimmter Rechtsbegriffe zusteht (Urteil des Bundesgerichts 4A.15/2006 vom 13. Dezember 2006 E. 4.1, mit Verweis auf BGE 112 Ia 107 E. 2b).</w:t>
      </w:r>
    </w:p>
    <w:p>
      <w:r>
        <w:rPr>
          <w:b/>
        </w:rPr>
        <w:t>E. 3.2</w:t>
      </w:r>
    </w:p>
    <w:p>
      <w:r>
        <w:t>In Ziffer B.12 des angefochtenen Entscheids argumentierte die Vorinstanz, runde, metallische Verschlüsse seien auch nicht selten. Zwar ist mit der Beschwerdeführerin dafür zu halten, dass diese Aussage relativ lapidar ist, doch zeigt sie auf, dass die Vorinstanz den Verschluss der strittigen Form mittels Vergleich mit anderen Verschlüssen gewürdigt hat. In der darauf folgenden Ziffer äusserte sich die Vorinstanz zudem zur Unterscheidungskraft der hinterlegten Form im Gesamteindruck. Insofern trifft nicht zu, dass die Vorinstanz jegliche Stellungnahme zur Unterscheidungskraft des Verschlusses der hinterlegten Marke vermissen lässt. Der Anspruch der Beschwerdeführerin auf rechtliches Gehör ist somit im vorliegenden Fall nicht verletzt worden.</w:t>
      </w:r>
    </w:p>
    <w:p>
      <w:r>
        <w:rPr>
          <w:b/>
        </w:rPr>
        <w:t>E. 4</w:t>
      </w:r>
    </w:p>
    <w:p>
      <w:r>
        <w:t>Das strittige dreidimensionale Zeichen beansprucht Schutz für folgende Waren der Klasse 3: Produits de parfumerie, parfums, eau de toilette, déodorants, huiles essentielles, talc pour la toilette, savons, gels pour la douche, sels de bains, crèmes de soins pour le corps à usage cosmétique, lotions pour les cheveux, cosmétiques. Es stellt unbestrittenermassen eine Verpackungsform und insofern eine Formmarke im engeren Sinne dar (BGE 120 II 307 E. 2a - The Original, mit Verweisen; Christoph Willi, Das schweizerische Markenrecht unter Berücksichtigung des europäischen und internationalen Markenrechts, Zürich 2002, Art. 2 N. 195; Magda Streuli-Youssef, Zur Schutzfähigkeit von Formmarken, in: Zeitschrift für Immaterialgüter-, Informations- und Wettbewerbsrecht [sic!] 2002 S. 794 ff., S. 795). In der angefochtenen Verfügung definierte die Vorinstanz entsprechend ihrer Praxis zunächst die Formenvielfalt im Bereich der Verpackungen für die beanspruchten Waren der Klasse 3. In einem zweiten Schritt verglich sie diese mit der strittigen Form. Hieraus zog sie den Schluss, die hinterlegte Form gehöre für die beanspruchten Waren zum Gemeingut; ihr fehle die vom Gesetz geforderte Unterscheidungskraft. Nach Auffassung der Beschwerdeführerin findet diese Vorgehensweise zur Beurteilung der Frage der Unterscheidungskraft der hinterlegten Marke im Markenschutzgesetz keine Stütze. Sie widerspreche auch der Praxis der Eidgenössischen Rekurskommission für Geistiges Eigentum. Bei der Frage der Schutzfähigkeit einer Formmarke dürfe kein Vergleich mit einzelnen bereits existierenden Formen vorgenommen werden. Dies hätte zur Folge, dass die absolute Schutzfähigkeit einer Formmarke nach Massgabe der relativen Ausschlussgründe im Sinne von Art. 3 MschG beurteilt würde. Der von der Vorinstanz vorgenommene Vergleich mit bereits vorhandenen Formen von Waren, die in die Klasse 3 fielen, könne demnach nicht für die Beurteilung der Schutzfähigkeit der in der Schweiz Schutz beanspruchenden IR-Marke massgebend sein. Vielmehr sei darauf abzustellen, ob die Form sich durch unterscheidungskräftige Merkmale von einfachen, banalen Formen unterscheide. Bei der hinterlegten Formmarke sei dies wie aufgezeigt der Fall.</w:t>
      </w:r>
    </w:p>
    <w:p>
      <w:r>
        <w:rPr>
          <w:b/>
        </w:rPr>
        <w:t>E. 4.1</w:t>
      </w:r>
    </w:p>
    <w:p>
      <w:r>
        <w:t>Zu dieser Frage hielt das Bundesgericht in einem unlängst ergangenen Entscheid (4A.1/2007 = BGE 133 III 342 - Verpackungsbehälter aus Kunststoff), dessen Begründung im Zeitpunkt der Vernehmlassung der Vorinstanz noch ausstehend war, was die Vorinstanz bewog, ein Gesuch um Sistierung des Verfahrens zu stellen, Folgendes fest: "Die Gemeinfreiheit von Formen ist insbesondere danach zu beurteilen, ob im beanspruchten Waren- oder Dienstleistungsbereich ähnliche Formen bekannt sind, von denen sich die beanspruchte Form nicht durch ihre Originalität abhebt. Dabei ist (...) nach konstanter bundesgerichtlicher Rechtsprechung die Originalität der Abweichungen im Vergleich zu den bisher im beanspruchten Warensegment üblichen Formen zu bestimmen, wenn zu beurteilen ist, ob ein bestimmtes Gestaltungsmittel als Herkunftshinweis im Sinne des Markenrechts verstanden werde (vgl. BGE 129 III 514 E. 4.2 S. 525 für Quader als Bauelement; Urteil 4A.8/2006 vom 23. Mai 2006, E. 2.2 für die Abschrägung der Längskanten im Vergleich zu den üblichen Quaderformen der Zigarettenverpackungen, publ. in: sic! 9/2005 S. 646; Urteil 4A.8/2004 vom 24. März 2005, E. 4.2 für stilisierten Zahnpastastrang im Vergleich zu üblichen farbigen Zahnpasten; Urteil 4A.4/2003 vom 24. Februar 2004, E. 2.2 nicht publ. in BGE 130 III 328 aber publ. in: sic! 7/8/2004 S. 569 für zinnenförmige Gestaltung der Scharnierverbindung bei Uhrenbändern)."</w:t>
      </w:r>
    </w:p>
    <w:p>
      <w:r>
        <w:rPr>
          <w:b/>
        </w:rPr>
        <w:t>E. 4.2</w:t>
      </w:r>
    </w:p>
    <w:p>
      <w:r>
        <w:t>Wie selbst die Beschwerdeführerin in ihrer Stellungnahme vom 7. September 2007 einräumt, schützt das Bundesgericht mit dem zitierten Entscheid die Prüfungspraxis der Vorinstanz im Bereich der Formmarken. Für die Eintragungsfähigkeit als Formmarke ist demnach insbesondere entscheidend, dass die Form durch unterscheidungskräftige Merkmale vom Gemeingut, d.h. von gewohnten und erwarteten Formen des betreffenden Warensegmentes abweicht (Urteil des Bundesverwaltungsgerichts B-7415/2006 vom 15. März 2007 E. 8; BGE 133 III 342 E. 4.4 - Verpackungsbehälter aus Kunststoff).</w:t>
      </w:r>
    </w:p>
    <w:p>
      <w:r>
        <w:rPr>
          <w:b/>
        </w:rPr>
        <w:t>E. 5</w:t>
      </w:r>
    </w:p>
    <w:p>
      <w:r>
        <w:t>Die Schutzfähigkeit eines Zeichens ist nach Massgabe seines Hinterlegungsgesuches zu prüfen (BGE 120 II 307 E. 3a - The Original; Entscheid der Rekurskommission für geistiges Eigentum [RKGE] in sic! 2006 S. 264 E. 5 - Tetrapack). Das vorliegende Zeichen stellt eine Verpackungsform für Körperpflegeprodukte dar. Es besteht aus einem dunklen, länglichen Flaschenkörper mit quadratischer Grundfläche und abgerundeten Kanten. Auf dessen oberen Seite ist, leicht erhaben, ein metallisch glänzender Griff respektive Verschluss angebracht. Dieser ist an dessen Basis von einem ebenso metallisch glänzenden Ring umgeben.</w:t>
      </w:r>
    </w:p>
    <w:p>
      <w:r>
        <w:rPr>
          <w:b/>
        </w:rPr>
        <w:t>E. 5.1</w:t>
      </w:r>
    </w:p>
    <w:p>
      <w:r>
        <w:t>Die Vorinstanz hat der hinterlegten Verpackungsform den Markenschutz im Wesentlichen mit der Begründung verweigert, quadratische lange Verpackungsformen mit abgerundeten Kanten würden auf dem Kosmetikmarkt bei verschiedenen Anbietern angeboten. Sie dienten zum Beispiel als Behälter für Parfum, Make-up, Mascara, Lippenstift oder Massage-Öl. Aus ästhetischen aber auch funktionellen Gründen sei eine dunkle Farbe zur Erreichung der Lichtundurchlässigkeit weit verbreitet, dies in verschiedenen Formen und für verschiedene Produkte, wie zum Beispiel für Parfum, Mascara oder Lippenstift. Runde und metallische Verschlüsse seien auch nicht selten. Die strittige Form weise somit nichts anderes auf als eine übliche Kombination üblicher Merkmale. Die Ausgestaltung der hinterlegten Form vermöge im Gesamteindruck daher nicht klar von einer banalen Form der Verpackung für die beanspruchten Waren der Klasse 3 abzuweichen. Der Abnehmer werde bei der Betrachtung der Form im Gesamteindruck neben den ästhetischen Aspekten der Form keinen betrieblichen Herkunftshinweis wahrnehmen können. Entsprechend gehöre die hinterlegte Form für die beanspruchten Waren zum Gemeingut gemäss Art. 2 Bst. a MSchG; ihr fehle die vom Gesetz geforderte Unterscheidungskraft. Die Beschwerdeführerin begründet die Unterscheidungskraft der Form mit dem Verschluss und seinem Gegensatz zum quaderförmigen Behälter. Der Verschluss in der Form eines früher auf Waagschalen gebrauchten Gewichtes sei für Schönheitsprodukte in der Klasse 3, einschliesslich Parfümflaschen, nicht nahe liegend oder allgemein gebräuchlich und weiche deshalb vom Gewohnten ab. Der Verschluss entspreche auch nicht dem Erwarteten. In Bezug auf Parfumflaschen diene der Verschluss als Druckkopf für die Sprühfunktion und erfülle damit einen bestimmten Zweck. Die Form des Verschlusses sei aber nicht rein technisch bedingt, sondern weise durch seine Ausgestaltung einen originellen und unterscheidungskräftigen Charakter auf.</w:t>
      </w:r>
    </w:p>
    <w:p>
      <w:r>
        <w:rPr>
          <w:b/>
        </w:rPr>
        <w:t>E. 5.2</w:t>
      </w:r>
    </w:p>
    <w:p>
      <w:r>
        <w:t>Massgebend für die Beurteilung der Unterscheidungskraft eines Zeichens ist stets die Wahrnehmung durch die angesprochenen Verkehrskreise im Gesamteindruck (Willi, a.a.O., Art. 2 N. 41 und 124; RKGE in sic! 2006 S. 264 E. 6 - Tetrapack). Im vorliegenden Fall sind dies Abnehmer von Körperpflegeprodukten und insofern Durchschnittskonsumenten. Aus ihrem Blickwinkel ist zu entscheiden, ob die hinterlegte Form vom im fraglichen Warensegment Gewohnten und Erwarteten abweicht. Bei der Beurteilung ist zu berücksichtigen, dass die Abnehmer in einer Waren- oder Verpackungsform grundsätzlich die Gestaltung der Ware respektive der Verpackung selber sehen und nicht einen betrieblichen Herkunftshinweis (BGE 130 III 328 E. 3.5 - Swatch; Urteil des Bundesgerichts 4A.15/2006 vom 13. Dezember 2006 E. 5 - Flasche).</w:t>
      </w:r>
    </w:p>
    <w:p>
      <w:r>
        <w:rPr>
          <w:b/>
        </w:rPr>
        <w:t>E. 5.3</w:t>
      </w:r>
    </w:p>
    <w:p>
      <w:r>
        <w:t>Zunächst ist festzuhalten, dass sich die Abnehmer von Körperpflegeprodukten an eine grosse Formenvielfalt von Verpackungen gewohnt sind, worauf die Vorinstanz zutreffend hingewiesen hat. Dies ist insofern relevant, als es bei grosser Formenvielfalt schwieriger ist, eine nicht banale Form zu schaffen, die von den Abnehmern als betrieblicher Herkunftshinweis und nicht als dekoratives Element oder technisches Beiwerk verstanden wird (Urteil des Bundesverwaltungsgerichts B-7379/2006 vom 17. Juli 2007 E. 4.3 - Leimtube, Urteil des Bundesverwaltungsgerichts B-7419/2006 vom 5. Dezember 2007 E. 3.2, je mit Verweisen). Besteht - wie im vorliegenden Fall - in einem bestimmten Warensegment eine Vielfalt von Formen, steigen entsprechend die Anforderungen an die Unterscheidungskraft einer Form (Urteil des Bundesverwaltungsgerichts B-7379/2006 vom 17. Juli 2007 E. 4.3 - Leimtube, mit Verweis auf Streuli-Youssef, a.a.O., S. 796). Die strittige Verpackungsform besteht zur Hauptsache aus einem dunklen, länglichen Flaschenkörper, welcher einen quadratischen Grundriss aufweist. Er zeichnet sich nicht durch charakteristische Merkmale von einer einfachen Form mit quadratischem Grundriss aus. Daran ändern auch die abgerundeten Kanten nichts (vgl. auch RKGE in sic! 1998 S. 399 E. 3 - Parfümflasche). Der metallisch glänzende Verschluss, der von einem ebenso metallisch glänzenden Ring umgeben ist, hebt sich zwar auf Grund seines hellen Glanzes vom dunklen Flaschenkörper ab, doch ein derartiger Kontrast ist, wie die von der Vorinstanz gezeigten Beispiele im Anhang des angefochtenen Entscheides zeigen, häufig bei Verpackungen von Parfüms und dergleichen anzutreffen. Dies erstaunt nicht weiter, da ein metallisch glänzender Verschluss der ganzen Verpackung ein edles Ansehen verleiht. Diese Wirkung dürfte von Abnehmern insbesondere kostspieligerer Parfüms durchaus erwünscht sein. Wie die Beschwerdeführerin hervorhebt, habe der Verschluss die Form eines früher auf Waagschalen gebrauchten Gewichtes, was für Schönheitsprodukte in der Klasse 3, einschliesslich Parfümflaschen, nicht nahe liegend oder allgemein gebräuchlich sei. Dem ist entgegenzuhalten, dass für die Abnehmer nicht auf den ersten Blick erkennbar sein dürfte, dass es sich hierbei um ein Gewicht handeln sollte, zumal die Basis des "Gewichtes", wozu wohl nach Auffassung der Beschwerdeführerin auch der Ring zählt, nur minim von der Oberseite des Flaschenkörpers hervorsteht und insofern keinen klar als Zylinder erkennbaren Körper aufweist. In der vorliegenden Form wird der Abnehmer den Verschluss eher als knopfförmigen Knauf wahrnehmen, mittels welchem sich die Parfümflasche leicht aufheben und tragen lässt. Parfümflaschen mit kugel- oder knopfförmigen Verschlüssen, die sich zugleich als praktische Griffe eignen, sind indessen wiederum häufig anzutreffen (vgl. die von der Vorinstanz gezeigten Beispiele im Anhang des angefochtenen Entscheides). Der vorliegende Verschluss ist klein, hat unauffällige harmonische Rundungen und glänzt in für Parfümflaschen unauffälliger Art, weshalb er sich nicht von einfachen, gebräuchlichen Verschlüssen unterscheidet (vgl. dagegen RKGE in sic! 1998 S. 399 E. 8 - Parfümflasche). In Kombination mit dem ebenso unauffälligen Flaschenkörper weist die vorliegende Verpackung keinen charakteristischen und unterscheidungskräftigen Gesamteindruck auf, der auch im Gedächtnis haften bleibt.</w:t>
      </w:r>
    </w:p>
    <w:p>
      <w:r>
        <w:rPr>
          <w:b/>
        </w:rPr>
        <w:t>E. 6</w:t>
      </w:r>
    </w:p>
    <w:p>
      <w:r>
        <w:t>Im angefochtenen Entscheid überprüfte die Vorinstanz zudem, ob sich das hinterlegte Zeichen im Verkehr durchgesetzt hat (vgl. Art. 2 Bst. a MschG). Sie verneinte diese Frage mit der Begründung, aus den von der Beschwerdeführerin eingereichten Auszügen ihrer Internetseite sei nicht zu entnehmen, seit wann und wo die Marke benützt worden sei. Die eingereichten Belege seien deshalb für die Glaubhaftmachung der Verkehrsdurchsetzung der hinterlegten Verpackungsform in der Schweiz für die beanspruchten Waren ungenügend. Diesbezüglich erklärte die Beschwerdeführerin, mit den Auszügen aus ihrer Website und den entsprechenden Ausführungen habe sie nicht geltend machen wollen, dass sich das hinterlegte Zeichen im Verkehr durchgesetzt habe. Damit erübrigt sich für das Bundesverwaltungsgericht die Prüfung, ob sich das hinterlegten Zeichen im Verkehr durchgesetzt hat .</w:t>
      </w:r>
    </w:p>
    <w:p>
      <w:r>
        <w:rPr>
          <w:b/>
        </w:rPr>
        <w:t>E. 7</w:t>
      </w:r>
    </w:p>
    <w:p>
      <w:r>
        <w:t>Zusammenfassend ergibt sich, dass die internationale Registrierung Nr. 789'173 Gemeingut im Sinne von Art. 2 Bst. a MschG darstellt. Die Vorinstanz hat ihr daher zu Recht den Schutz in der Schweiz verweigert. Die Beschwerde erweist sich demnach als unbegründet und ist abzuweisen.</w:t>
      </w:r>
    </w:p>
    <w:p>
      <w:r>
        <w:rPr>
          <w:b/>
        </w:rPr>
        <w:t>E. 8</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