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B-2311/2010 vom 22. Oktober 2010</w:t>
      </w:r>
    </w:p>
    <w:p>
      <w:r>
        <w:t>Bundesverwaltungsgericht, 2010-10-22, DE</w:t>
      </w:r>
    </w:p>
    <w:p>
      <w:r>
        <w:rPr>
          <w:b/>
        </w:rPr>
        <w:t xml:space="preserve">Quelle: </w:t>
      </w:r>
      <w:r>
        <w:t>https://mcp.opencaselaw.ch/entscheid/bvger_B-2311_2010</w:t>
      </w:r>
    </w:p>
    <w:p>
      <w:r>
        <w:t>FR: TAF B-2311/2010 du 22 octobre 2010</w:t>
      </w:r>
    </w:p>
    <w:p>
      <w:r>
        <w:t>IT: TAF B-2311/2010 del 22 ottobre 2010</w:t>
      </w:r>
    </w:p>
    <w:p>
      <w:pPr>
        <w:pStyle w:val="Heading2"/>
      </w:pPr>
      <w:r>
        <w:t>Regeste</w:t>
      </w:r>
    </w:p>
    <w:p>
      <w:r>
        <w:t>Finanzmarktaufsicht</w:t>
      </w:r>
    </w:p>
    <w:p>
      <w:pPr>
        <w:pStyle w:val="Heading2"/>
      </w:pPr>
      <w:r>
        <w:t>Erwägungen</w:t>
      </w:r>
    </w:p>
    <w:p>
      <w:r>
        <w:rPr>
          <w:b/>
        </w:rPr>
        <w:t>E. 1</w:t>
      </w:r>
    </w:p>
    <w:p>
      <w:r>
        <w:t>Die Verfügung der Vorinstanz vom 29. März 2010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u.a. von den Anstalten und Betrieben des Bundes erlassen werden (vgl. Art. 33 Bst. e VGG). Darunter fällt die vorliegende, von der FINMA erlassene Verfügung (Art. 54 Abs. 1 des Finanzmarktaufsichtsgesetzes vom 22. Juni 2007 [FINMAG; SR 956.1]). Das Bundesverwaltungsgericht ist damit zur Behandlung der Beschwerde gegen die vorinstanzliche Verfügung zuständig.</w:t>
      </w:r>
    </w:p>
    <w:p>
      <w:r>
        <w:rPr>
          <w:b/>
        </w:rPr>
        <w:t>E. 1.1</w:t>
      </w:r>
    </w:p>
    <w:p>
      <w:r>
        <w:t>Die Beschwerdeführerin 1 hat den Kostenvorschuss für das vorliegende Verfahren innert der vom Bundesverwaltungsgericht gesetzten Frist nicht geleistet. Auf ihre Beschwerde ist daher - wie in der Zwischenverfügung vom 13. April 2010 angedroht - unter Kostenfolge nicht einzutreten. Die von ihr zu tragenden Kosten werden auf Fr. 250.- festgelegt.</w:t>
      </w:r>
    </w:p>
    <w:p>
      <w:r>
        <w:rPr>
          <w:b/>
        </w:rPr>
        <w:t>E. 1.2</w:t>
      </w:r>
    </w:p>
    <w:p>
      <w:r>
        <w:t>Die Beschwerdeführerin 2 und der Beschwerdeführer 3 haben den Kostenvorschuss fristgerecht einbezahlt (vgl. Art. 63 Abs. 4 VwVG). Sie haben vor der Vorinstanz am Verwaltungsverfahren teilgenommen und sind Adressaten der angefochtenen Verfügung. Sie sind durch die jeweils sie selbst betreffenden Feststellungen und Anordnungen im Dispositiv der angefochtenen Verfügung besonders berührt und haben ein schutzwürdiges Interesse an deren Aufhebung oder Änderung (vgl. Art. 48 Abs. 1 Bst. a-c VwVG i.V.m. Art. 37 VGG). Sie sind daher in diesem Umfang zur Beschwerdeführung legitimiert. Wird eine juristische Person im Kontext eines Unterstellungsverfahrens in Liquidation oder Konkurs versetzt, so fehlt ihren eigentlichen Organen im Zeitpunkt der Beschwerdeerhebung regelmässig die Zeichnungsberechtigung, da die Vorinstanz ihnen bereits vorher mittels superprovisorischer Verfügung die Vertretungsbefugnis entzogen und diese einem Untersuchungsbeauftragten übertragen hat. In dieser Situation wäre es aber nicht zulässig, ihr vorzuhalten, sie müsste durch den - zur Zeit allein zeichnungsberechtigten - Untersuchungsbeauftragten Beschwerde erheben, da das Rechtsbegehren in direktem Zusammenhang mit der Einsetzung dieses Untersuchungsbeauftragten steht (vgl. EGMR, Credit and Industrial Bank v. the Czech Republic, Urteil vom 21. Oktober 2003, Recueil des arrêts et décisions 2003-XI, Ziff. 50 ff.). Gemäss ständiger Rechtsprechung des Bundesgerichts und des Bundesverwaltungsgerichts gelten daher die nach den gesellschaftsinternen Regeln eingesetzten Organe, welche bis zum Erlass der superprovisorischen Verfügung zeichnungsberechtigt waren, als befugt, die Verfügung der Vorinstanz, durch welche die juristische Person in Liquidation oder Konkurs versetzt wurde, im Namen der juristischen Person anzufechten (vgl. Urteil des Bundesgerichts 2A.332/2006 vom 6. März 2007 E. 2.3.1, mit Hinweis auf BGE 131 II 306 E. 1.2.1). Der Beschwerdeführer 3 war bis zu der Einsetzung des Untersuchungsbeauftragten einzelzeichnungsberechtigter Direktor der Beschwerdeführerin 2. Er ist demnach im Sinne der dargestellten Rechtsprechung zur Beschwerde im Namen der Beschwerdeführerin 2 befugt. Eingabefrist sowie Anforderungen an Form und Inhalt der Beschwerdeschrift sind gewahrt (vgl. Art. 50 Abs. 1 und 52 Abs. 1 VwVG). Auch die übrigen Sachurteilsvoraussetzungen sind gegeben (vgl. Art. 47 ff. VwVG). Auf die Beschwerden der Beschwerdeführerin 2 und des Beschwerdeführers 3 ist somit einzutreten.</w:t>
      </w:r>
    </w:p>
    <w:p>
      <w:r>
        <w:rPr>
          <w:b/>
        </w:rPr>
        <w:t>E. 2</w:t>
      </w:r>
    </w:p>
    <w:p>
      <w:r>
        <w:t>Der Sachverhalt ist weitgehend unbestritten und präsentiert sich wie folgt (vgl. dazu den Untersuchungsbericht vom 5. Februar 2010 S. 6 ff., p. C 242 ff.):</w:t>
      </w:r>
    </w:p>
    <w:p>
      <w:r>
        <w:rPr>
          <w:b/>
        </w:rPr>
        <w:t>E. 2.1</w:t>
      </w:r>
    </w:p>
    <w:p>
      <w:r>
        <w:t>Im Sommer 2009 trat Herr B. - gemäss Darstellung des Beschwerdeführers 3 - mit der Idee an ihn heran, Gelder der Mitglieder des C. Clubs über eine Schweizer Gesellschaft zu poolen, dann bei einem Broker anzulegen und dort mit Hilfe der automatisierten Tradingsoftware der D. Ltd., Zypern, zu verwalten. Am 1. September 2009 schloss die Beschwerdeführerin 2 mit C. zu diesem Zweck eine Treuhandvereinbarung ab, welche von der Beschwerdeführerin 1 mitunterzeichnet wurde. Gemäss dieser Vereinbarung tritt C. als Treugeberin und die Beschwerdeführerin 2 als Treunehmerin auf. Die Beschwerdeführerin 1 betreut die Anleger bzw. Mitglieder des C. Clubs, welche mit einem Einsatz von EUR 3'000.- an einem "Investmentprogramm" teilnehmen. Die Beschwerdeführerin 2 nimmt die Einzahlungen der Mitglieder für X. AG "auf deren Rechnung" entgegen. Die Beschwerdeführerin 2 leitet die Gelder gemäss Instruktion der C. auf das Handelskonto des Brokers weiter bzw. nimmt die Rücküberweisung der Gelder an die Anleger vor. Dafür erhält sie eine pauschale Vergütung von 3% der Treuhandbeträge. Im Falle einer Rückabwicklung ist anstelle dieser Treuhandgebühr eine Pauschale von EUR 50.- pro Kunde geschuldet.</w:t>
      </w:r>
    </w:p>
    <w:p>
      <w:r>
        <w:rPr>
          <w:b/>
        </w:rPr>
        <w:t>E. 2.2</w:t>
      </w:r>
    </w:p>
    <w:p>
      <w:r>
        <w:t>Ab Mitte September 2009 wurden die Mitglieder des C. Clubs für die Teilnahme am "Investmentprogramm" angeworben. Die Kontaktaufnahme erfolgte durch C. in Wien und über die lokalen "Clubbetreuer". Die Anmeldung erfolgte über die Website X. AG anhand eines "Antrags zur X. Vermögensverwaltung Konto K.", welcher durch die Anleger unterzeichnet und an die C. gesandt werden musste (vgl. p. C 154). Im Antrag wurde die Beschwerdeführerin 1 als Vermögensverwaltung nach Schweizer Recht unter der Aufsicht der FINMA vorgestellt. Festgehalten wurde des Weiteren, dass das Investment von EUR 3'000.- in spekulative Finanztransaktionen investiert würde - verwaltet durch eine automatisierte Handelssoftware -, wobei Verluste, im theoretischen Fall gar ein Totalverlust und eine Nachschusspflicht resultieren könnten. Für die Beschwerdeführerin 1 war eine Managementgebühr von 6% p.a. sowie eine nach Performance abgestufte Erfolgsgebühr von bis zu 20% des Gewinns und eine Nutzungsgebühr Software von bis zu 30% des Gewinns vorgesehen. Die Anleger sollten ihren Anlagebetrag von EUR 3'000.- je auf ein von der Beschwerdeführerin 1 eröffnetes Depot einzahlen, wobei die Überweisung auf ein von einem Treuhänder kontrolliertes Konto erfolgen würde. Dem Anleger werde monatlich per E-Mail der Kontostand mitgeteilt worden bzw. er hätte diesen über ein Login auf der Website X. AG jederzeit einsehen können. Ab dem 6. Oktober 2009 schloss die Beschwerdeführerin 1 mit über 850 Mitgliedern von C. einen Vermögensverwaltungsauftrag über das Produkt "Konto K.". Die Anleger überwiesen den Betrag von EUR 3'000.- auf das Konto der Beschwerdeführerin 2, welche die erfolgten Eingänge an C. meldete und den Anlegern eine Einzahlungsbestätigung zustellte. Die Verträge kamen durch die Unterschrift der Beschwerdeführerin 1 auf dem oben genannten Antragsformular zustande. Diese Gegenzeichnung erfolgte in den Büros der C., welche zu diesem Zweck über einen Firmenstempel der Beschwerdeführerin 1 verfügte. Die Anleger erhielten sodann einen Newsletter, welcher von der C. erstellt und versandt worden war. Die Anwerbung der Anleger erfolgte, ohne dass zu jenem Zeitpunkt die internen Vorbereitungen betreffend die Einrichtung des Brokerkontos getroffen worden wären. Die Beschwerdeführerin 1 füllte erst im Dezember 2009 Kontoeröffnungsformulare für die Eröffnung eines Brokerkontos aus, doch kam es in der Folge zu keiner Kontoeröffnung (vgl. p. C 102 - 104). In der Zeit vom 6. Oktober 2009 bis 10. Dezember 2009 gingen auf das Konto der Beschwerdeführerin 2 Einzahlungen von 849 Anlegern über EUR 2'547'628.61 ein. Zwischen 29. Dezember 2009 und 8. Januar 2010 zahlten nochmals 6 Anleger Geldbeträge ein. Nach Abschlussbuchungen belief sich der Kontosaldo per 8. Januar 2010 auf EUR 2'567'350.04 (855 Anleger). Die D. Ltd. überwies der Beschwerdeführerin 2 im Dezember 2009 eine Treuhandkommission in der Höhe von EUR 30'000.- (Teilbetrag; geschuldet gewesen wäre ein Betrag von EUR 38'485.-; p. C 068). In den Akten befindet sich ein Schreiben des Beschwerdeführers 3 vom 27. November 2009 an Herrn B. (p. A1 220), worin er darauf hinweist, dass er noch kein nachvollziehbares "Handelskonto bzw. Programm" von Herrn B. erhalten habe und die Homepage der X. Inhalte aufweise, welche wahrheitswidrig seien. Er verlangte die Korrektur dieser Inhalte und stellte die Rückübertragung der Gelder an die Anleger in Aussicht. In einem Schreiben vom 7. Dezember 2009 an die St. Galler Kantonalbank (p. A1 123) gab der Beschwerdeführer 3 - bezugnehmend auf ein Gespräch mit der Bank - Erklärungen ab hinsichtlich der Herkunft der Gelder auf dem Konto der Beschwerdeführerin 2. Darin hielt er fest, er wisse noch nicht, wie das Handelskonto beim Broker aussehen werde. Demgemäss ging er zu diesem Zeitpunkt grundsätzlich noch vom Zustandekommen des Geschäfts aus. Erst in einem weiteren Schreiben an die St. Galler Kantonalbank vom 16. Dezember 2009 (p. A1 151) führte der Beschwerdeführer 3 aus, ob das geplante Anlagemodell zustande komme, sei unsicher, denn der Treugeber erwäge den Abbruch des Geschäfts aus unterschiedlichsten Gründen. Mit E-Mail vom 23. Dezember 2009 wurden die Anleger vom Absender info@d._______.com über den aktuellen Stand informiert, wobei u.a. die Behauptung aufgestellt wurde, dass für den Handelsbeginn alles bereit sei und lediglich noch der Transfer der Gelder vom Konto der Beschwerdeführerin 2 zum Broker in den USA fehle (p. C 064 und 065). Beim Eintreffen des Untersuchungsbeauftragten am 7. Januar 2010 war der Beschwerdeführer 3 dabei, die Bankbelege zu ordnen, um - wie er geltend machte - die Rückzahlung vorzubereiten.</w:t>
      </w:r>
    </w:p>
    <w:p>
      <w:r>
        <w:rPr>
          <w:b/>
        </w:rPr>
        <w:t>E. 3</w:t>
      </w:r>
    </w:p>
    <w:p>
      <w:r>
        <w:t>Die Beschwerdeführenden bestreiten, dass sie in einer Gruppenstruktur tätig gewesen seien. Die Vorinstanz hält dem entgegen, die Beschwerdeführerinnen 1 und 2 hätten ihre gemeinsame Tätigkeit arbeitsteilig wahrgenommen und seien in personeller Hinsicht eng verflochten gewesen. Daher sei die Qualifikation als Gruppe angemessen.</w:t>
      </w:r>
    </w:p>
    <w:p>
      <w:r>
        <w:rPr>
          <w:b/>
        </w:rPr>
        <w:t>E. 3.1</w:t>
      </w:r>
    </w:p>
    <w:p>
      <w:r>
        <w:t>Nach der Praxis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die Gruppe als eine wirtschaftliche Einheit behandelt werden muss (Urteile des Bundesverwaltungsgerichts B-8227/2007 vom 20. März 2009 E. 8.2 sowie B-1645/2007 vom 17. Januar 2008 E. 5.2, je mit Hinweisen). Das Bundesgericht hat diese Praxis bestätigt (vgl. Urteile des Bundesgerichts 2A.332/2006 vom 6. März 2007 E. 5.2.4 sowie 2A.442/1999 vom 21. Februar 2000 E. 3b/cc). Von einer Gruppe in diesem Sinn ist dann auszugehen, wenn die finanziellen und personellen Verflechtungen zwischen zwei oder mehreren Gesellschaften oder zwischen natürlichen und juristischen Personen derart intensiv sind, dass nur eine gesamthafte Betrachtungsweise den faktischen Gegebenheiten gerecht wird und Gesetzesumgehungen verhindern kann (vgl. Urteil des Bundesgerichts 2C_749/2008 vom 16. Juni 2009 E. 3.2; ferner: Urteil des Bundesverwaltungsgerichts B-2474/2007 vom 4. Dezember 2007 E. 3.2). Dies ist insbesondere dann gegeben, wenn die Akteure im Hinblick auf die in Frage stehende bewilligungspflichtige Tätigkeit gegenüber dem Publikum einheitlich auftreten, indem sie sich etwa gemäss den eigenen Unterlagen gegen aussen als "Unternehmensgruppe" darstellen (vgl. Urteil des Bundesgerichts 2A.442/1999 vom 21. Februar 2000 E. 2e und E. 3b/dd). Ein gruppenartiges Zusammenwirken muss sich aber nicht zwingend derart öffentlich manifestieren; auch bloss intern wahrnehmbare personelle, wirtschaftliche und organisatorische Verflechtungen von Gesellschaften oder natürlichen Personen untereinander können derart intensiv sein, dass eine Gruppenbetrachtung angezeigt ist. Dies ist etwa dann der Fall, wenn die verschiedenen Akteure im Hinblick auf die bewilligungspflichtige Tätigkeit koordiniert - ausdrücklich oder stillschweigend arbeitsteilig und zielgerichtet - zusammenwirken (Urteil des Bundesverwaltungsgerichts B-6715/2007 vom 3. September 2008 E. 4.2.2, Urteil des Bundesgerichts 2C_749/2008 vom 16. Juni 2009 E. 3.2). Die Annahme einer Gruppe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Urteile des Bundesverwaltungsgerichts B-6715/2007 vom 3. September 2008 E. 6.2 sowie B-2474/2007 vom 4. Dezember 2007 E. 3.2).</w:t>
      </w:r>
    </w:p>
    <w:p>
      <w:r>
        <w:rPr>
          <w:b/>
        </w:rPr>
        <w:t>E. 3.2</w:t>
      </w:r>
    </w:p>
    <w:p>
      <w:r>
        <w:t>Den Akten ist zu entnehmen, dass die Beschwerdeführerinnen 1 und 2 im Rahmen des Geschäftes "C." zusammenwirkten (vgl. E. 2). Die Kunden, bzw. Mitglieder des "C. Clubs", beauftragten die Beschwerdeführerin 1 mittels Vermögensverwaltungsvertrags (vgl. Akten p. C 070 bis 080), die einbezahlten Vermögenswerte für spekulative Finanztransaktionen mit Aktien, Währungen, Indizes und Derivaten zu verwenden. Das Geld wurde auf ein "Treuhand-Konto" der Beschwerdeführerin 2 bezahlt, welche es auf ein Handelskonto der Beschwerdeführerin 1 bei einem amerikanischen Broker hätte weiterleiten sollen. Die vertragliche Grundlage der Arbeitsteilung zwischen der Beschwerdeführerin 1 und der Beschwerdeführerin 2 bildet eine "Treuhandvereinbarung" zwischen der Beschwerdeführerin 2 und C., welche von der Beschwerdeführerin 1 mitunterzeichnet worden war (vgl. p. C 083 - 087). Diese Umstände machen deutlich, dass die Beschwerdeführerinnen 1 und 2 im Hinblick auf das Geschäft "C." koordiniert und zielgerichtet zusammenwirkten. Zudem bestehen personelle Verflechtungen, indem in beiden Gesellschaften dieselbe (einzige) Verwaltungsrätin amtierte und die Geschäftsführung bei beiden - zumindest faktisch (vgl. p. C 194, Frage 31 sowie C 138 f. Frage 30) - derselben Person, nämlich dem Beschwerdeführer 3, oblag. Des Weiteren sind beide Gesellschaften an derselben Adresse domiziliert. Unter den gegebenen Umständen war der Entscheid der Vorinstanz, die Beschwerdeführerinnen 1 und 2 als Gruppe anzusehen, rechtmässig und ist nicht zu beanstanden.</w:t>
      </w:r>
    </w:p>
    <w:p>
      <w:r>
        <w:rPr>
          <w:b/>
        </w:rPr>
        <w:t>E. 4</w:t>
      </w:r>
    </w:p>
    <w:p>
      <w:r>
        <w:t>Die Beschwerdeführenden machen geltend, es liege kein Bankengeschäft vor und sie hätten keine Publikumseinlagen entgegen genommen.</w:t>
      </w:r>
    </w:p>
    <w:p>
      <w:r>
        <w:rPr>
          <w:b/>
        </w:rPr>
        <w:t>E. 4.1</w:t>
      </w:r>
    </w:p>
    <w:p>
      <w:r>
        <w:t>Gemäss Art. 1 Abs. 2 Satz 1 BankG ist es natürlichen und juristischen Personen, die nicht dem Bankengesetz unterstehen, verboten, gewerbsmässig Publikumseinlagen entgegenzunehmen. Die Entgegennahme von Publikumseinlagen, das bankenmässige Passivgeschäft, besteht darin, dass ein Unternehmen gewerbsmässig Verpflichtungen gegenüber Dritten eingeht, d.h. selber zum Rückzahlungsschuldner der entsprechenden Leistung wird (BGE 132 II 382 E. 6.3.1, m.w.H.). Dabei gelten grundsätzlich alle Verbindlichkeiten als Einlagen (FINMA-Rundschreiben 08/3: Gewerbsmässige Entgegennahme von Publikumseinlagen durch Nichtbanken im Sinne des Bankengesetzes, Rz. 10). Nach Art. 1 Abs. 2 Satz 2 BankG kann der Bundesrat Ausnahmen vom Verbot vorsehen, ohne Bewilligung gewerbsmässig Publikumseinlagen entgegenzunehmen, sofern der Schutz der Einleger gewährleistet ist. Solche Ausnahmen hat der Bundesrat in Art. 3a der Bankenverordnung vom 17. Mai 1972 (BankV, SR 952.02) festgesetzt. Nicht als Einlagen gelten danach (unter anderem) "Gelder, die eine Gegenleistung aus einem Vertrag auf Übertragung des Eigentums oder aus einem Dienstleistungsvertrag darstellen oder als Sicherheitsleistung übertragen werden" (Art. 3a Abs. 3 Bst. a BankV) sowie "Habensaldi auf Kundenkonti von Effekten-, oder Edelmetallhändlern, Vermögensverwaltern oder ähnlichen Unternehmen, welche einzig der Abwicklung von Kundengeschäften dienen, wenn dafür kein Zins bezahlt wird" (Art. 3a Abs. 3 Bst. c BankV). Nur die in Art. 3a Abs. 3 Bst. a-d BankV abschliessend - als Ausnahmen - aufgezählten Verbindlichkeiten gelten nicht als Einlagen (vgl. Alois Rimle, Recht des schweizerischen Finanzmarktes, Zürich/Basel/Genf 2004, S. 13). Die Umschreibung des Begriffs Einlagen erfolgt damit ausdrücklich negativ (Daniel Zuberbühler, Revision des Bankengesetzes vom 18. März 1994 und der Bankenverordnung, in: Aktuelle Rechtsprobleme des Finanz- und Börsenplatzes Schweiz, Bd. 3/1994, S. 18 f.). Gewerbsmässig im Sinne des Bankengesetzes handelt, wer dauernd mehr als 20 Publikumseinlagen hält (Art. 3a Abs. 2 BankV) oder in Inseraten, Prospekten, Rundschreiben oder elektronischen Medien für die gewerbsmässige Entgegennahme von Geldern wirbt (Art. 3 Abs. 1 BankV; BGE 132 II 382 E. 6.3.1).</w:t>
      </w:r>
    </w:p>
    <w:p>
      <w:r>
        <w:rPr>
          <w:b/>
        </w:rPr>
        <w:t>E. 4.2</w:t>
      </w:r>
    </w:p>
    <w:p>
      <w:r>
        <w:t>Die Beschwerdeführenden bringen zunächst vor, die Beschwerdeführerin 1 habe das Vermögen eines jeden Mitglieds des "Vereins C." auf fremde Rechnung, nämlich auf die jedes einzelnen Mitgliedes verwaltet. Wesentliches Merkmal für die Entgegennahme von Publikumseinlagen sei, dass ein Unternehmen für eigene Rechnung Verpflichtungen gegenüber Dritten eingehe und aus diesem Geschäft zum Rückzahlungsschuldner der entsprechenden Leistung werde. Davon zu unterscheiden sei der obligatorische Rückforderungsanspruch einer bereits erbrachten Leistung beim später nicht verwirklichten Vertrag. Diese zwingend notwendige Unterscheidung mache die Vorinstanz nicht, was eine willkürliche Rechtsanwendung darstelle. Die Beschwerdeführerin 2 habe sich nur zur Weiterleitung, nicht aber zur Rückzahlung der entgegengenommenen Gelder verpflichtet. Auch im Verhältnis Beschwerdeführerin 1 zu den Kunden hätte bei gehöriger Vertragserfüllung immer nur der obligatorische Anspruch der Kunden auf Herausgabe der für sie gekauften Sachwerte (Aktien, Währungen, Derivate) bestanden. Vorab ist festzuhalten, dass - entgegen der von den Beschwerdeführenden zum Teil verwendeten Bezeichnung "Verein C." - keine Dokumente vorgelegt wurden, wonach es sich bei C. um einen Verein nach ausländischem Recht handelt. Welche Rechtsform C. zukommt, bleibt nach Aussagen der Vorinstanz daher unklar. Im Treuhandvertrag vom 1. September 2009 wird festgehalten, dass die Firma Y. AG die Investmentgelder der Mitglieder für X. AG auf deren Rechnung einkassiere (p. C 159, § 1). Es ist nicht eindeutig erstellt, welche Bedeutung dieser Formulierung zuzumessen ist. Während der Beschwerdeführer 3 anlässlich seiner Befragung aussagte, der Zusatz "auf deren Rechnung" beziehe sich auf die Anleger, hielten die Beschwerdeführenden in ihrer Replik, S. 19, Ziff. 1.3.3.b1, fest, der Treuhandvertrag statuiere, dass die Beschwerdeführerin 2 die Gelder auf Rechnung der X. entgegen nehme. Kein Zweifel besteht jedoch am Umstand, dass die Kunden gegenüber der Beschwerdeführerin 1 - auch bei gehöriger Vertragserfüllung - einen Anspruch auf Rückerstattung ihrer Habensaldi (p. C 074 und 075) hatten. Wie die Vorinstanz zu Recht ausführt, ist für die Qualifikation als Publikumseinlage nicht erforderlich, dass dieser Saldo genau den einbezahlten Einlagen entspricht. Dies ist aufgrund von angelaufenen Zinsen, Kursschwankungen und sonstigen Gewinnen und Verlusten gewöhnlich auch nicht zu erwarten. Da es im Rahmen der Gruppenbetrachtung keine Rolle spielt, ob der Rückforderungsanspruch gegenüber der Beschwerdeführerin 1 oder 2 entstand, ist auch die Beschwerdeführerin 2 gegenüber den Anlegern als Rückzahlungsschuldnerin zu qualifizieren. Vorliegend handelt es sich zudem nicht um eine Ausnahme nach Art. 3a Abs. 3. Bst. a BankV, wonach Gelder, die eine Gegenleistung aus einem Vertrag auf Übertragung des Eigentums oder aus einem Dienstleistungsvertrag darstellen oder als Sicherheitsleistung übertragen werden, nicht als Einlagen gelten. Im Rahmen des Geschäftes C. wurde kein individualisierbares Eigentum (vgl. hierzu Urteil des BGer 2A.332/2006 vom 6. März 2007 E. 5.1.1. und 5.2.3) übertragen. Die Gelder der Anleger hätten beim ausländischen Broker gepoolt und von der X. AG für Rechnung der Anleger gemeinschaftlich verwaltet werden sollen (p. C 241 und 242). Den Anlegern hätte daher kein Eigentumsrecht an eventuell erworbenen Effekten, sondern lediglich eine Forderung zur Auszahlung des jeweiligen Habensaldos zugestanden.</w:t>
      </w:r>
    </w:p>
    <w:p>
      <w:r>
        <w:rPr>
          <w:b/>
        </w:rPr>
        <w:t>E. 4.3</w:t>
      </w:r>
    </w:p>
    <w:p>
      <w:r>
        <w:t>Die Beschwerdeführenden machen des Weiteren geltend, das Treuhandkonto der Beschwerdeführerin 2 sei ein reines Abwicklungskonto gewesen. Es sei nie geplant gewesen, dass die Beschwerdeführerin 1 oder 2 auf eigene Rechnung Geschäfte tätigen würden; vielmehr sollte für Rechnung der wirtschaftlichen Eigentümer der Gelder Sachwerte gekauft werden. Die Behauptung der Vorinstanz, dieses Konto sei wegen fehlender zeitlicher Kurzfristigkeit des Hauptgeschäfts nicht als Abwicklungskonto zu qualifizieren, verletze die Wirtschaftsfreiheit und das Willkürverbot. Die Einzahlungen seien erst nach und nach erfolgt. Entgegen der Auffassung der Vorinstanz seien sie demnach nicht monatelang "herumgelegen". Den beteiligten Vertragsparteien stehe die freie Entscheidung zu, zu welchem Zeitpunkt sie in die Börse einsteigen wollten. Es gehe nicht an, dass eine Behörde den Privaten vorschreibe, wann sie ihre Aktien an der Börse kaufen sollten. Auch die Ansicht der Vorinstanz, es bestehe kein Hauptgeschäft, sei rechtsverletzend. Ob ein Hauptgeschäft vorliege, bestimme sich allein nach dem Parteiwillen bei Vertragsabschluss. Indem die Vorinstanz ein Hauptgeschäft erst annehmen wolle, wenn dieses vollständig abgeschlossen sei, verfalle sie in Willkür. Nicht als Einlagen gelten "Habensaldi auf Kundenkonti von Effekten-, oder Edelmetallhändlern, Vermögensverwaltern oder ähnlichen Unternehmen, welche einzig der Abwicklung von Kundengeschäften dienen, wenn dafür kein Zins bezahlt wird" (Art. 3a Abs. 3 Bst. c BankV). Diese Ausnahme ist auf Konti begrenzt, die einzig dazu dienen, die notwendige Liquidität zur Abwicklung des im Vordergrund stehenden Hauptgeschäfts zur Verfügung zu stellen. Andere Kundenguthaben bei einem Finanzintermediär werden von ihr nicht erfasst (RASHID BAHAR/ERIC STUPP, in: Rolf Watter/Nedim Peter Vogt/Thomas Bauer/Christoph Winzeler [Hrsg.] Basler Kommentar zum Bankengesetz, Basel/Genf/München 2005, N. 13 zu Art. 1, vgl. auch FINMA-RS 2008/3 Rz. 16). In der vorliegend zu beurteilenden Konstellation bestand, wie die Vorinstanz zu Recht geltend macht, (noch) kein Hauptgeschäft. Weder war der Broker, an welchen die Gelder weitergeleitet werden sollten, definitiv bestimmt, noch wurde ein entsprechendes Konto eröffnet. Die Verwaltung der Kundengelder durch die automatische Software hatte damit noch nicht einmal ansatzweise begonnen. Somit kann beim "Treuhandkonto" der Beschwerdeführerin 2 nicht von einem Abwicklungskonto gesprochen werden. Den Ausführungen der Beschwerdeführenden ist zudem entgegen zu halten, dass es den Anlegern im Rahmen des Geschäfts C. gerade nicht zustand, selbst zu bestimmen, zu welchem Zeitpunkt sie in die Börse "einsteigen" wollen. Auch jene Anleger, die ihr Einlage bereits im Oktober 2009 leisteten, konnten mit dem "Trading" durch die Automatik-Software nicht sofort beginnen, sondern waren gezwungen zu warten, bis die Beschwerdeführerin 2 die gepoolten Gelder auf Anweisung der C. hin dem Broker weiterleiten würde. Die Beschwerdeführenden machen geltend, die Entgegennahme und Weiterleitung der Gelder der Anleger sei ein reines Treuhandgeschäft und kein Bankengeschäft. Die C. habe in indirekter Stellvertretung der Vereinsmitglieder von Börenpower den Treuhandvertrag mit der Beschwerdeführerin 2 abgeschlossen. Wie die Vorinstanz zu Recht ausführte, besteht keine Treuhandvereinbarung zwischen der Beschwerdeführerin 2, welche die Gelder auf ihrem Konto sammelte, und den Anlegern. Hingegen wurde eine Treuhandvereinbarung zwischen der Beschwerdeführerin 2 und C. geschlossen. Da C. an den einbezahlten Geldern nicht berechtigt war, konnte sie diesbezüglich indessen auch keine Vereinbarungen treffen. Es bestand demnach kein Treuhandgeschäft in Bezug auf die Anlagegelder. Auch bei der von den Beschwerdeführenden geltend gemachten "indirekten Stellvertretung", d.h. wenn der "Vertreter" den Vertrag in eigenem Namen, aber auf fremde Rechnung, also auf Rechnung des "Vertretenen" im Hintergrund abschliesst, wird nicht der Vertretene, hier also die Anleger selber, sondern - mangels Offenlegung des Vertretungsverhältnisses - nur der "Vertreter" Vertragspartei (vgl. Eugen Bucher, Schweizerisches Obligationenrecht, Allgemeiner Teil, 2. Auflage, Zürich 1988, § 33, S. 598; VPB 66.10 E. 3b). Die Anleger haben demnach auch unter dieser Annahme keinen Treuhandvertrag geschlossen.</w:t>
      </w:r>
    </w:p>
    <w:p>
      <w:r>
        <w:rPr>
          <w:b/>
        </w:rPr>
        <w:t>E. 4.4</w:t>
      </w:r>
    </w:p>
    <w:p>
      <w:r>
        <w:t>Soweit die Beschwerdeführenden eine Verletzung des Anspruchs auf rechtliches Gehör geltend machen, weil die Vorinstanz in der angefochtenen Verfügung keine klare Abgrenzung zwischen der Entgegennahme von Geld und der Entgegennahme von Publikumseinlagen im Sinne des Bankengesetzes gemacht habe, ist ihnen nicht zu folgen. Die Vorinstanz begründete ausreichend, inwiefern es sich bei den von der X. Gruppe entgegengenommenen Geldern um Publikumseinlagen handle. Insbesondere erklärte sie auch, warum es sich beim "Treuhandkonto" der Beschwerdeführerin 2 nicht um eine Abwicklungskonto handle und warum keine Treuhandgeschäft vorliege (angefochtene Verfügung, Ziff. 32 ff.).</w:t>
      </w:r>
    </w:p>
    <w:p>
      <w:r>
        <w:rPr>
          <w:b/>
        </w:rPr>
        <w:t>E. 4.5</w:t>
      </w:r>
    </w:p>
    <w:p>
      <w:r>
        <w:t>Nach dem Gesagten liegt keine Ausnahme nach Art. 3a der BankV vor und es bestand auch kein Treuhandgeschäft in Bezug auf die Anlagegelder. Somit sind die auf dem "Treuhandkonto" der Beschwerdeführerin 2 gepoolten Gelder als Publikumseinlagen zu qualifizieren. Die Beschwerdeführenden handelten gewerbsmässig, da sie von über 850 Personen Publikumseinlagen entgegen nahmen. Auch wurde auf der Internetseite der Beschwerdeführerin 1 dafür Werbung betrieben (Art. 3a Abs. 2 sowie Art. 3 Abs. 1 BankV). Die Beschwerdeführenden stellen sich auf den Standpunkt, wenn eine Gruppentätigkeit in der Geschäftsabwicklung bejaht werde, müsse konsequenterweise die Gruppe in ihrer Gesamtheit betrachtet werden. Mithin müsse auch der Broker, welcher über alle notwendigen Lizenzen für den Effekten- und Devisenhandel verfüge, als Gruppenmitglied einbezogen werden. Das Vorhandensein dieser Bewilligungen müsse demnach der gesamten Gruppe angerechnet werden. In ihrer nachträglichen Eingabe erklärten die Beschwerdeführenden, die Broker der Wahl seien entweder E. Inc. oder F. gewesen. In den Akten finden sich Anträge der Beschwerdeführerin 2 zur Eröffnung eines Kontos bei diesen Brokern (C 046 - C 014). Indessen wurde in der Folge weder ein solches Konto eröffnet noch eine Geschäftsbeziehung aufgenommen. Eine zum Zeitpunkt der Entgegennahme der Publikumseinlagen nicht eindeutig bestimmte und noch nicht rechtsgültig in die Geschäftstätigkeit involvierte Partei kann selbstredend nicht als Gruppenmitglied qualifiziert werden. Das entsprechende Begehren der Beschwerdeführenden ist daher abzulehnen. Die X. Gruppe verfügte somit über keine Bewilligung zur gewerbsmässigen Entgegennahme von Publikumseinlagen, weshalb die Vorinstanz zu Recht eine Verletzung des Bankengesetzes feststellte.</w:t>
      </w:r>
    </w:p>
    <w:p>
      <w:r>
        <w:rPr>
          <w:b/>
        </w:rPr>
        <w:t>E. 5</w:t>
      </w:r>
    </w:p>
    <w:p>
      <w:r>
        <w:t>Der Beschwerdeführer 3 beantragt, das gegen ihn ausgesprochene Werbeverbot und dessen Publikation seien aufzuheben. Mit der Behauptung, es bestehe die Gefahr, dass er seine angeblich bankenrechtswidrige Tätigkeit weiterhin im Namen einer anderen Gesellschaft oder unter Einbezug von Drittpersonen als Strohleute weiterführen könnte, werde der Grundsatz des rechtlichen Gehörs massiv verletzt. Die Vorinstanz nenne für diese "Gefahr" keinen Anhaltspunkt, geschweige denn einen Beweis.</w:t>
      </w:r>
    </w:p>
    <w:p>
      <w:r>
        <w:rPr>
          <w:b/>
        </w:rPr>
        <w:t>E. 5.1</w:t>
      </w:r>
    </w:p>
    <w:p>
      <w:r>
        <w:t>Gegen den Beschwerdeführer wurde das Verbot ausgesprochen, unter jeglicher Bezeichnung selbst oder über Dritte Publikumseinlagen gewerbsmässig entgegenzunehmen oder für die Entgegennahme von Publikumseinlagen in irgend einer Form Werbung zu betreiben. Für die Widerhandlung gegen das Verbot wurden ihm Konsequenzen gemäss Art. 48 FINMAG sowie Art. 44 FINMAG und Art. 46 und 49 BankG angedroht (Ziff. 9 und 10 der angefochtenen Verfügung). Nach Eintritt der Rechtskraft der angefochtenen Verfügung wird das Werbeverbot auf der Webseite der FINMA veröffentlicht (Ziff. 11 der angefochtenen Verfügung). Gemäss konstanter Rechtsprechung überprüft das Bundesverwaltungsgericht, ob die Auferlegung eines Tätigkeits- und Werbeverbots im Einzelfall gerechtfertigt und verhältnismässig war (Entscheid des Bundesverwaltungsgerichts B-6837/2007 vom 17. September 2008 E. 1.2 und 3.2).</w:t>
      </w:r>
    </w:p>
    <w:p>
      <w:r>
        <w:rPr>
          <w:b/>
        </w:rPr>
        <w:t>E. 5.2</w:t>
      </w:r>
    </w:p>
    <w:p>
      <w:r>
        <w:t>Der Beschwerdeführer 3 war in das Geschäft C. massgebend involviert. Er war Geschäftsführer der Beschwerdeführerin 2 und mittels Mandatsvertrags durch B. beauftragt, die Beschwerdeführerin 1 zu verwalten (p. C 097 bis 092). Der Beschwerdeführer nahm in dieser Funktion Publikumseinlagen entgegen, sammelte diese auf dem Konto der Beschwerdeführerin 2 und stellte den Anlegern Eingangsbestätigungen aus. Für diese Tätigkeiten bezog er ein Entgelt von EUR 30'000.-. Des Weitern füllte er im Namen der Beschwerdeführerin 1 Formulare für die Eröffnung eines Konto bei einem Broker aus und liess sie durch A. unterschreiben (p. C 034 ff.; vgl. p. C 132, Antwort von A. auf Frage 78). Überdies geht aus dem unveröffentlichten Urteil des Bundesgerichts 6P.124/2004 vom 25. Februar 2005 hervor, dass der Beschwerdeführer 3 bereits im Jahr 1995 Gehilfenschaft zu einem betrügerischen Geschäft geleistet hatte, welches nur deshalb nicht als Betrug qualifiziert wurde, weil das Tatbestandsmerkmal der Arglist aufgrund einer Opfermitverantwortung nicht erfüllt war. Der Beschwerdeführer 3 wurde aus diesem Grund in der Folge freigesprochen (vgl. auch Urteil 6P.176/2006 vom 16. Februar 2007). Das Bundesgericht hielt hinsichtlich der Gehilfenschaft des Beschwerdeführers 3 fest, nach den Feststellungen der Vorinstanz habe der Umstand, dass die Haupttäter einen schweizerischen Treuhänder (den Beschwerdeführer 3) eingeschaltet hätten, in dessen Büroräumlichkeiten die Verträge unterzeichnet worden seien, für die Anleger einen zusätzlichen Anschein von Sicherheit und Seriosität bewirkt. Damit habe der Beschwerdeführer die Erfolgschancen des betrügerischen Geschäfts erhöht, womit die Voraussetzungen für die Annahme der Gehilfenschaft erfüllt seien. Dass der Beschwerdeführer hier lediglich neutrale Handlungen ohne deliktischen Sinnbezug bzw. ohne eine Solidarisierung mit den Haupttätern begangen hätte, die ohne Weiteres auch anderweitig zugänglich gewesen wären, sei nicht ersichtlich (Urteil 6P.124/2004 E. 7.3).</w:t>
      </w:r>
    </w:p>
    <w:p>
      <w:r>
        <w:rPr>
          <w:b/>
        </w:rPr>
        <w:t>E. 5.3</w:t>
      </w:r>
    </w:p>
    <w:p>
      <w:r>
        <w:t>Nachdem sich der Beschwerdeführer 3 demnach bereits zweimal für zweifelhafte Geschäfte im Finanzbereich zur Verfügung gestellt hat, sind die Befürchtungen der Vorinstanz, er könnte auch in Zukunft auf ähnliche Art und Weise tätig werden, nicht unberechtigt. Das Werbeverbot und dessen Publikation erweisen sich daher als erforderlich, um die Öffentlichkeit zu informieren und potentielle Anleger zu schützen. Da der Beschwerdeführer keinerlei Konsequenzen zu befürchten hat, wenn er sich in Zukunft gesetzeskonform verhält, sind die Anforderungen an die Erteilung eines derartigen Verbots nicht hoch. Im Übrigen wiegen die Nachteile, welche der Beschwerdeführer durch die Veröffentlichung zu tragen hat (Rufschädigung), weniger schwer als das Interesse der potentiellen Anleger und der Öffentlichkeit. Die in den Ziffern 9 bis 11 der angefochtenen Verfügung ausgesprochenen Massnahme erweisen sich daher als verhältnismässig.</w:t>
      </w:r>
    </w:p>
    <w:p>
      <w:r>
        <w:rPr>
          <w:b/>
        </w:rPr>
        <w:t>E. 5.4</w:t>
      </w:r>
    </w:p>
    <w:p>
      <w:r>
        <w:t>Der Beschwerdeführer 3 sieht eine Verletzung seines Anspruchs auf rechtliches Gehör darin, dass die Vorinstanz keinen Anhaltspunkt, geschweige denn einen Beweis genannt habe für die angebliche Gefahr einer Weiterführung bzw. Wiederaufnahme einer bankenrechtswidrigen Tätigkeit. Die Vorinstanz begründete das Werbeverbot und dessen Publikation in der angefochtenen Verfügung nur rudimentär. Indessen finden sich in der Vernehmlassung vom 21. Mai 2010 und in der Duplik vom 16. August 2010 eingehende Begründungen für die verhängte Massnahme. Darin geht die Vorinstanz insbesondere auf deren Verhältnismässigkeit ein sowie - unter Bezugnahme auf die oben (E. 5.2) zitierten Urteile des Bundesgerichts - auf die bestehende "Wiederholungsgefahr". Ein Mangel in der Begründung wird als behoben erachtet, wenn die Rechtsmittelbehörde eine hinreichende Begründung liefert oder wenn die unterinstanzliche Behörde anlässlich der Anfechtung ihres Entscheides eine genügende Begründung nachschiebt, etwa in der Vernehmlassung (Urteile des BVGer A-1737/2006 vom 22. August 2007 E. 2.2 sowie B-199/2009 vom 20. Oktober 2009 E. 3.3). Falls bezüglich der Begründung des Werbeverbotes eine Gehörsverletzung statt gefunden hätte, wäre sie demnach im Rahmen des vorliegenden Beschwerdeverfahrens vor dem Bundesverwaltungsgericht als geheilt zu betrachten.</w:t>
      </w:r>
    </w:p>
    <w:p>
      <w:r>
        <w:rPr>
          <w:b/>
        </w:rPr>
        <w:t>E. 6</w:t>
      </w:r>
    </w:p>
    <w:p>
      <w:r>
        <w:t>Schliesslich beantragen die Beschwerdeführenden die Aufhebung der Ziffern 13, 14 und 15 der angefochtenen Verfügung (Auferlegung der Verfahrens- und Untersuchungskosten). Zur Begründung bringen sie vor, sie hätten keine aufsichtsrechtlich relevanten Tätigkeiten ausgeübt, weshalb die Vorinstanz für ein Einschreiten nicht zuständig gewesen sei.</w:t>
      </w:r>
    </w:p>
    <w:p>
      <w:r>
        <w:rPr>
          <w:b/>
        </w:rPr>
        <w:t>E. 6.1</w:t>
      </w:r>
    </w:p>
    <w:p>
      <w:r>
        <w:t>Da die Vorinstanz allgemein über die Einhaltung der gesetzlichen Vorschriften im Bereich des Finanzmarktes zu wachen hat (vgl. Art. 1 und 6 Abs. 1 FINMAG), ist ihre Aufsicht nicht auf die ihr bereits unterstellten Betriebe (insbesondere Banken und diesen gleichgestellte Unternehmen) beschränkt. Zu ihrem Aufgabenbereich gehört ebenso die Abklärung der in Frage stehenden banken- bzw. finanzmarktrechtlichen Bewilligungs- und Genehmigungspflichten einer Gesellschaft oder Person (vgl. Art. 1 und Art. 3 ff. BankG). Praxisgemäss kann sie daher die in den Gesetzen vorgesehenen Mittel auch gegenüber Instituten bzw. Personen einsetzen, deren Unterstellungs- oder Bewilligungspflicht umstritten ist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Insbesondere kann die FINMA eine unabhängige und fachkundige Person damit beauftragen, bei einer oder einem Beaufsichtigten einen aufsichtsrechtlich relevanten Sachverhalt abzuklären oder von ihr angeordnete aufsichtsrechtliche Massnahmen umzusetzen (Untersuchungsbeauftragte oder Untersuchungsbeauftragter; Art. 36 Abs. 1 FINMAG). Wie oben festgestellt, haben die Beschwerdeführenden unbewilligt Publikumseinlagen entgegen genommen. Die Zuständigkeit der Vorinstanz zur Einleitung eines Verfahrens und zur Einsetzung eines Untersuchungsbeauftragten war demnach ohne Weiteres gegeben. Die Kosten des Untersuchungsbeauftragten haben gemäss gesetzlicher Vorschrift die Beaufsichtigten zu tragen (Art. 36 Abs. 4 FINMAG).</w:t>
      </w:r>
    </w:p>
    <w:p>
      <w:r>
        <w:rPr>
          <w:b/>
        </w:rPr>
        <w:t>E. 6.2</w:t>
      </w:r>
    </w:p>
    <w:p>
      <w:r>
        <w:t>Die Beschwerdeführenden rügen nicht, die ihnen auferlegten Verfahrens- oder Untersuchungskosten seien zu hoch. Auch für das Bundesverwaltungsgericht sind keine Anhaltspunkte ersichtlich, wonach die Vorinstanz durch die Auferlegung der Kosten an die Beschwerdeführenden oder die Festsetzung der Höhe (Verfahrenskosten von Fr. 15'000.-, Untersuchungskosten von Fr. 27'008.30) Bundesrecht verletzt hätte.</w:t>
      </w:r>
    </w:p>
    <w:p>
      <w:r>
        <w:rPr>
          <w:b/>
        </w:rPr>
        <w:t>E. 7</w:t>
      </w:r>
    </w:p>
    <w:p>
      <w:r>
        <w:t>Die Beschwerde erweist sich demnach in allen Teilen als unbegründet, weshalb sie vollumfänglich abzuweisen ist.</w:t>
      </w:r>
    </w:p>
    <w:p>
      <w:r>
        <w:rPr>
          <w:b/>
        </w:rPr>
        <w:t>E. 8</w:t>
      </w:r>
    </w:p>
    <w:p>
      <w:r>
        <w:t>Bei diesem Verfahrensausgang haben die Beschwerdeführenden nach Art. 63 Abs. 1 VwVG die Verfahrenskosten zu tragen und es wird ihnen gemäss Art. 64 Abs. 1 VwVG i.V.m. Art. 7 Abs. 1 des Reglements vom 21. Februar 2008 über die Kosten und Entschädigungen vor dem Bundesverwaltungsgericht (VGKE, SR 173.320.2) keine Parteientschädigung ausgerichtet. Die Verfahrenskosten werden im Rahmen von Art. 4 VGKE und unter Berücksichtigung der durch die Beschwerdeführenden veranlassten Zwischenverfügung vom 26. Mai 2010 auf Fr. 2'000.- für die Beschwerdeführerin 2 und Fr. 2'000.- für den Beschwerdeführer 3, somit gesamthaft auf Fr. 4'000.-, festgelegt. Die Verfahrenskosten werden mit den geleisteten Kostenvorschüssen in der Höhe von je Fr. 2'000.- (insgesamt Fr. 4'000.-)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