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B-2226/2006 vom 28. September 2007</w:t>
      </w:r>
    </w:p>
    <w:p>
      <w:r>
        <w:t>Bundesverwaltungsgericht, 2007-09-28, FR</w:t>
      </w:r>
    </w:p>
    <w:p>
      <w:r>
        <w:rPr>
          <w:b/>
        </w:rPr>
        <w:t xml:space="preserve">Quelle: </w:t>
      </w:r>
      <w:r>
        <w:t>https://mcp.opencaselaw.ch/entscheid/bvger_B-2226_2006</w:t>
      </w:r>
    </w:p>
    <w:p>
      <w:r>
        <w:t>FR: TAF B-2226/2006 du 28 septembre 2007</w:t>
      </w:r>
    </w:p>
    <w:p>
      <w:r>
        <w:t>IT: TAF B-2226/2006 del 28 settembre 2007</w:t>
      </w:r>
    </w:p>
    <w:p>
      <w:pPr>
        <w:pStyle w:val="Heading2"/>
      </w:pPr>
      <w:r>
        <w:t>Regeste</w:t>
      </w:r>
    </w:p>
    <w:p>
      <w:r>
        <w:t>Paiements directs généraux et contributions écologiques</w:t>
      </w:r>
    </w:p>
    <w:p>
      <w:pPr>
        <w:pStyle w:val="Heading2"/>
      </w:pPr>
      <w:r>
        <w:t>Erwägungen</w:t>
      </w:r>
    </w:p>
    <w:p>
      <w:r>
        <w:rPr>
          <w:b/>
        </w:rPr>
        <w:t>E. 1</w:t>
      </w:r>
    </w:p>
    <w:p>
      <w:r>
        <w:t>point par UGB concernée, mais 50 points au maximum En l'espèce, la réduction a été fixée à Fr. 4'060.--. Selon le décompte final des paiements directs 2002, les bovins, équidés, bisons, chèvres et brebis laitières sont au nombre de 51.81 UGB et les autres chèvres et moutons, cerfs, lamas et alpagas au nombre de 1.7 UGB, soit un total de 53.51 UGB. Le Service de l'agriculture n'a toutefois tenu compte que de 47 vaches mères (le coefficient par vache mère étant de 0.8 selon l'annexe à l'ordonnance du 7 décembre 1998 sur la terminologie agricole et la reconnaissance des formes d'exploitation [OTerm, RS 910.91]) pour le calcul de la sanction (300 + 100 x 37.6 UGB), alors que le nombre d'animaux en surnombre était supérieur dans la décision du Tribunal administratif cantonal du 14 mai 2003. Dès lors, comme l'a relevé ce dernier dans la décision attaquée, la sanction n'apparaît, dans ces conditions, pas injustifiée. Partant, le recours doit également être rejeté sur ce point. Par ailleurs, les recourants estiment que les circonstances tout à fait particulières qui ont entraîné une pollution minime des eaux de (...) ont fait que A._______ a dû prendre des mesures pour reloger ses animaux, lesquelles ont entraîné les sanctions pour suroccupation de locaux. Selon eux, sanctionner les recourants pour ce manquement implique que l'on sanctionne par des réductions deux fois la même activité. Il ressort de ce qui précède (voir consid. 5.2 à 5.2.3 et 5.3.2) que cet argument est dénué de pertinence, dans la mesure où il s'agit de deux états de faits différents aboutissant à deux sanctions portant sur un autre type d'infraction : la première concerne une infraction à la législation sur la protection des eaux et entraîne une sanction selon la partie A du dispositif de sanction, alors que la seconde concerne une infraction à la législation sur la protection des animaux et entraîne une sanction selon la partie B. 5.3.3 S'agissant des paiements directs 2005, le Tribunal administratif cantonal a confirmé la réduction de Fr. 10'000.--, ramenée à Fr. 3'285.-- au motif que le montant total des réductions dépassait la somme à allouer à titre de paiements directs, en raison de manquements aux prescriptions relatives à la protection des animaux. Par décision du 10 février 2005, le Service vétérinaire a constaté les manquements suivants : des bovins malades ou blessés manquaient de soins et de propreté, la litière de l'aire de repos était souillée et insuffisante, le box à chevaux où étaient logées les brebis avec leurs agneaux n'était pas conforme aux exigences requises (surface trop petite par rapport au nombre d'animaux). Il a donc ordonné à A._______ de remédier de suite à ces manquements. Se fondant sur cette décision et considérant qu'il s'agissait d'un cas de récidive par rapport à 2003, le Service de l'agriculture a décidé d'effectuer une retenue sur le décompte final des paiements directs 2005 pour un montant de Fr. 10'000.-- au titre de non-conformité en matière de protection des animaux. Ce montant a été ramené à Fr. 3'285.-- au motif que le montant total des réductions dépassait la somme à allouer à titre de paiements directs. Dans leur recours, les recourants prétendent que les animaux concernés étaient bien inférieurs au nombre retenu par le Tribunal administratif cantonal, que la sanction est dès lors totalement injustifiée et que, de plus, il s'agit d'une infraction par négligence de nature minime. Il ressort de ce qui précède que la décision du Service vétérinaire étant entrée en force de chose jugée et les recourants ne s'étant pas conformés aux dispositions relatives à la protection des animaux, il était ainsi justifié de prendre une sanction en application de l'art. 70 al. 1 let. d OPD. Reste à examiner si le montant de cette sanction a été correctement fixé. Dans leur recours, les recourants contestent le nombre d'animaux retenu par le Tribunal administratif cantonal. Ils ne précisent toutefois pas quel en était selon eux le nombre ni n'apportent de preuve susceptible de remettre en cause le nombre retenu. Dans la décision attaquée, dit tribunal a détaillé le montant de la sanction infligée ainsi : "Selon le décompte final des paiements directs 2005, les bovins, équidés, bisons, chèvres et brebis laitières sont au nombre de 82.4 UGB. Le nombre de points déterminants s'élèvent donc à 82.4, mais il doit être ramené à 50 au maximum. Le montant de la réduction se chiffre ainsi à 5'000 fr. (50 x 100 ; une sanction minimale de 300 fr. aurait pu encore être ajoutée). Il a toutefois été doublé afin de tenir compte de la récidive. En effet, (...), il est déjà arrivé au recourant de ne pas se conformer aux prescriptions relatives à la protection des animaux. Ce manquement ainsi que celui qui nous occupe étant survenus au cours d'une période de trois ans, la récidive devait être sanctionnée. Ce point peut toutefois demeurer ouvert en l'espèce, puisque la sanction fixée initialement à 10'000 fr. a en définitive été ramenée à 3'285 fr." La Directive de la Conférence des directeurs cantonaux de l'agriculture du 27 janvier 2005 concernant la réduction des paiements directs (ci-après : la directive sur la réduction des PD), applicable pour les paiements directs 2005, traite à son ch. 1.2, partie B, des réductions dans le domaine de la protection des animaux. Jusqu'à 109 points y compris, il est prévu que la réduction se calcule comme suit : points x Fr. 100.--, mais Fr. 200.-- au moins. A partir de 110 points, l'exploitation est exclue des paiements directs. La réduction doit être doublée lors de la première récidive en l'espace de trois ans et quadruplée lors de la deuxième récidive en l'espace de trois ans. Le ch. 1.2.1 de la partie B de la directive sur la réduction des PD traite de la protection des animaux sous l'angle de la conformité des bâtiments et des aspects qualitatifs : Manquement Réduction Non-conformité des bâtiments et des aspects qualitatifs avec les prescriptions en matière de protection des animaux, à l'exception des sorties de bétail bovin détenu à l'attache. Lorsque plusieurs manquements, indépendants les uns des autres, sont relevés par animal, les points doivent être additionnés. Au moins 1 point par UGB concernée, mais 50 points au maximum. Dans les formes d'élevage connaissant plusieurs rotations par année, il convient de pondérer les UGB concernées sur la base des rotations conformément à l'ordonnance sur la terminologie agricole. Il appert de ce qui précède que le Tribunal administratif cantonal s'est fondé sur le dispositif de sanctions de 2002 pour calculer le montant de la réduction, alors qu'il aurait fallu appliquer la directive sur la réduction des PD 2005. Toutefois, cela ne porte pas à conséquence en l'espèce, le montant ainsi calculé étant aussi en tout point conforme à ce que prévoit la directive sur la réduction des PD 2005. Par ailleurs, la sanction ayant été ramenée de Fr. 10'000.-- à Fr. 3'285.--, le Tribunal administratif cantonal a laissé ouverte la question de la récidive. Sur ce point également, l'arrêt attaqué n'est pas critiquable de sorte que le recours doit être rejeté. 5.4 Concernant enfin la réduction de 100% pour les SST non conformes pour les paiements directs 2005, elle a été ramenée de Fr. 6'439.50.-- à Fr. 0.--, dès lors que le montant total des réductions dépassait la somme à allouer à titre de paiements directs. Le Tribunal administratif cantonal a estimé que les recourants n'avaient pas d'intérêt à ce que cette réduction soit examinée, puisqu'elle a été ramenée à Fr. 0.--. Pour leur part, les recourants partent du principe que cette déduction n'interviendra plus. Il ressort de ce qui précède que la réduction ayant été ramenée à Fr. 0.--, c'est à juste titre que le Tribunal administratif cantonal a considéré que les recourants n'avaient pas d'intérêt à ce que cette réduction soit examinée. Le recours doit dès lors être rejeté sur ce point également.</w:t>
      </w:r>
    </w:p>
    <w:p>
      <w:r>
        <w:rPr>
          <w:b/>
        </w:rPr>
        <w:t>E. 6</w:t>
      </w:r>
    </w:p>
    <w:p>
      <w:r>
        <w:t>Il résulte de ce qui précède que c'est à bon droit que les autorités cantonales ont refusé d'octroyer des paiements directs aux sociétés simples successives et ont considéré A._______ comme unique exploitant. Mal fondé, le recours doit être rejeté sur ce point. S'agissant des réductions, le recours doit être partiellement admis dans la mesure où il concerne la sanction infligée quant au défaut de test du pulvérisateur pour les paiements directs 2002. Sur ce point, les décisions de l'autorité inférieure, de la deuxième et de la première instances doivent être annulées et l'affaire doit être renvoyée à la première instance pour qu'elle prenne une nouvelle décision conformément à la sanction prévue par le dispositif de sanctions. Le recours doit en revanche être rejeté pour toutes les autres réductions.</w:t>
      </w:r>
    </w:p>
    <w:p>
      <w:r>
        <w:rPr>
          <w:b/>
        </w:rPr>
        <w:t>E. 7</w:t>
      </w:r>
    </w:p>
    <w:p>
      <w:r>
        <w:t>Les recourants obtenant très partiellement gain de cause, soit sur seulement une des cinq sanctions prononcées et cela uniquement sur le montant (soit environ 10% des conclusions), les frais de procédure mis à leur charge, qui comprennent l'émolument judiciaire et les débours (art. 1 al. 1 du Règlement du 11 décembre 2006 concernant les frais, dépens et indemnités fixés par le Tribunal administratif fédéral [FITAF, RS 173.320.2]), doivent être réduits en conséquence (art. 63 al. 1 PA). Lorsqu'une partie n'obtient que partiellement gain de cause, les dépens auxquels elle peut prétendre sont réduits en proportion (art. 7 al. 2 FITAF). En l'espèce, il se justifie d'octroyer aux recourants un montant réduit de Fr. 300.-- à titre de dépens (TVA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