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B-2113/2018 vom 3. August 2018</w:t>
      </w:r>
    </w:p>
    <w:p>
      <w:r>
        <w:t>Bundesverwaltungsgericht, 2018-08-03, DE</w:t>
      </w:r>
    </w:p>
    <w:p>
      <w:r>
        <w:rPr>
          <w:b/>
        </w:rPr>
        <w:t xml:space="preserve">Quelle: </w:t>
      </w:r>
      <w:r>
        <w:t>https://mcp.opencaselaw.ch/entscheid/bvger_B-2113_2018</w:t>
      </w:r>
    </w:p>
    <w:p>
      <w:r>
        <w:t>FR: TAF B-2113/2018 du 3 août 2018</w:t>
      </w:r>
    </w:p>
    <w:p>
      <w:r>
        <w:t>IT: TAF B-2113/2018 del 3 agosto 2018</w:t>
      </w:r>
    </w:p>
    <w:p>
      <w:pPr>
        <w:pStyle w:val="Heading2"/>
      </w:pPr>
      <w:r>
        <w:t>Regeste</w:t>
      </w:r>
    </w:p>
    <w:p>
      <w:r>
        <w:t>Aussenhandel</w:t>
      </w:r>
    </w:p>
    <w:p>
      <w:pPr>
        <w:pStyle w:val="Heading2"/>
      </w:pPr>
      <w:r>
        <w:t>Erwägungen</w:t>
      </w:r>
    </w:p>
    <w:p>
      <w:r>
        <w:rPr>
          <w:b/>
        </w:rPr>
        <w:t>E. 1</w:t>
      </w:r>
    </w:p>
    <w:p>
      <w:r>
        <w:t>Das Bundesverwaltungsgericht prüft von Amtes wegen und mit freier Kognition, ob die Prozessvoraussetzungen gegeben sind und ob auf eine Beschwerde einzutreten ist (BVGE 2007/6 E. 1 m. w. H., BVGE 2008/48, nicht publizierte E. 1.2).</w:t>
      </w:r>
    </w:p>
    <w:p>
      <w:r>
        <w:rPr>
          <w:b/>
        </w:rPr>
        <w:t>E. 1.1</w:t>
      </w:r>
    </w:p>
    <w:p>
      <w:r>
        <w:t>Gemäss Art. 31 des Bundesgesetzes vom 17. Juni 2005 über das Bundesverwaltungsgericht (VGG, SR 173.32) prüft das Gericht Beschwerden gegen Verfügungen nach Art. 5 des Bundesgesetzes vom 20. Dezember 1968 über das Verwaltungsverfahren (VwVG, SR 172.021), sofern keine Ausnahme nach Art. 32 VGG vorliegt.</w:t>
      </w:r>
    </w:p>
    <w:p>
      <w:r>
        <w:rPr>
          <w:b/>
        </w:rPr>
        <w:t>E. 1.2</w:t>
      </w:r>
    </w:p>
    <w:p>
      <w:r>
        <w:t>Das Departement für auswärtige Angelegenheiten EDA, Direktion Völkerrecht, ist eine Vorinstanz gemäss Art. 33 Bst. d VGG, vorliegend ist auch keine Ausnahme der Zuständigkeit auszumachen, weshalb das Bundesverwaltungsgericht für die Beurteilung der vorliegenden Beschwerde zuständig ist.</w:t>
      </w:r>
    </w:p>
    <w:p>
      <w:r>
        <w:rPr>
          <w:b/>
        </w:rPr>
        <w:t>E. 1.3</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(vgl. Art. 48 Abs. 1 VwVG).</w:t>
      </w:r>
    </w:p>
    <w:p>
      <w:r>
        <w:rPr>
          <w:b/>
        </w:rPr>
        <w:t>E. 1.4</w:t>
      </w:r>
    </w:p>
    <w:p>
      <w:r>
        <w:t>Die Beschwerde wurde frist- und formgerecht eingereicht und der Kostenvorschuss bezahlt.</w:t>
      </w:r>
    </w:p>
    <w:p>
      <w:r>
        <w:rPr>
          <w:b/>
        </w:rPr>
        <w:t>E. 2</w:t>
      </w:r>
    </w:p>
    <w:p>
      <w:r>
        <w:t>Das vorliegende Verfahren bestimmt sich nach dem Verwaltungsverfahrensgesetz, soweit das Bundesgesetz über die Sperrung und die Rückerstattung unrechtmässig erworbener Vermögenswerte ausländischer politisch exponierter Personen (SRVG, SR 196.1) und das VGG (SR 173.32) nichts anderes bestimmen (Art. 37 VGG).</w:t>
      </w:r>
    </w:p>
    <w:p>
      <w:r>
        <w:rPr>
          <w:b/>
        </w:rPr>
        <w:t>E. 2.1</w:t>
      </w:r>
    </w:p>
    <w:p>
      <w:r>
        <w:t>Nach der bundesgerichtlichen Rechtsprechung muss sich die urteilende Instanz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Bundesgerichts 1C_143/2016 vom 2. Mai 2016 E. 2, m.w.H.).</w:t>
      </w:r>
    </w:p>
    <w:p>
      <w:r>
        <w:rPr>
          <w:b/>
        </w:rPr>
        <w:t>E. 2.2</w:t>
      </w:r>
    </w:p>
    <w:p>
      <w:r>
        <w:t>Bei der Beurteilung eines Nichteintretensentscheid der Vorinstanz ist die Rechtsfrage zu prüfen, ob die Vorinstanz zu Recht nicht auf das Begehren der Beschwerdeführerin eingetreten ist. Damit wird das Anfechtungsobjekt auf die Eintretensfrage beschränkt (BGE 135 II 41 E.1.2, Moser/Beusch/Kneubühler, Prozessieren vor dem Bundesverwaltungsgericht, 2. Aufl. 2013, S. 95 Rz. 2.164).</w:t>
      </w:r>
    </w:p>
    <w:p>
      <w:r>
        <w:rPr>
          <w:b/>
        </w:rPr>
        <w:t>E. 3</w:t>
      </w:r>
    </w:p>
    <w:p>
      <w:r>
        <w:t>Die Verordnung über Massnahmen gegen gewisse Personen aus der Ukraine vom 26. Februar 2014 (aUkraine-Verordnung; AS 2014 573), welche am 28. Februar 2014 in Kraft trat, stützte sich auf Art. 184 Abs. 3 der Bundesverfassung (BV; SR 101). Am 1. Juli 2016 trat das Bundesgesetz über die Sperrung und die Rückerstattung unrechtmässig erworbener Vermögenswerte ausländischer politisch exponierter Personen vom 18. Dezember 2015 in Kraft (SRVG, RS 196.1). Gestützt auf Art. 3 und 30 SRVG erging sodann eine neue Verordnung über die Sperrung von Vermögenswerten im Zusammenhang mit der Ukraine vom 25. Mai 2016 (nUkraine-Verordnung, SR196.127.67), welche ebenfalls am 1. Juli 2016 in Kraft trat. Vermögenswerte, die beim Inkrafttreten des SRVG gestützt auf Art. 184 Abs. 3 BV bereits gesperrt waren, bleiben gemäss Art. 32 Abs. 1 SRVG gesperrt und werden Sperren nach Art. 4 SRVG gleichgestellt.</w:t>
      </w:r>
    </w:p>
    <w:p>
      <w:r>
        <w:rPr>
          <w:b/>
        </w:rPr>
        <w:t>E. 4</w:t>
      </w:r>
    </w:p>
    <w:p>
      <w:r>
        <w:t>In der Hauptsache rügt die Beschwerdeführerin, die Vorinstanz hätte mit der Verfügung vom 5. April 2018 auf ihre Anträge vom 29. November bzw. 13. Dezember 2017 eintreten und diese gutheissen müssen. Die Verfügung des BJ vom 7. Juli 2016, wonach der Kaufpreis von dem Konto 3 der E._______ Inc. auf das Konto 1 der Beschwerdeführerin zurück zu überweisen sei, sei nichtig. Dies müsse auch im vorliegenden Verfahren beachtet werden. Das BJ greife ohne ausreichende gesetzliche Grundlage in verfassungsmässige Rechte der Beschwerdeführerin ein. Für die Beziehung zwischen einem Bankkunden und der Bank gelte grundsätzlich das Zivilrecht. Sie, die Beschwerdeführerin, habe im Rahmen ihrer Privatautonomie gehandelt und würde u.a. den Schutz von Art. 26, 27, 29a und 30 BV geniessen. Beim Schreiben der Vorinstanz vom 28. November 2017 an die Bank C._______, keine Einwände gegen die vom BJ verlangte Rückzahlung zu haben, handle es sich um eine widerrechtliche Handlung im Sinne von Art. 25a VwVG. Der Verweis der Vorinstanz auf Art. 8 Abs. 5 SRVG, wonach das Rechtshilfeverfahren Vorrang habe, bleibe unbehelflich. Die mehrfachen Sperren seien voneinander unabhängig. Im Übrigen handle es sich bei der Rückzahlung von dem Konto 3 der E._______ Inc. um eine durch die Vorinstanz zu bewilligende Freigabe von gesperrten Vermögenswerten nach Massgabe von Art. 9 SRVG.</w:t>
      </w:r>
    </w:p>
    <w:p>
      <w:r>
        <w:rPr>
          <w:b/>
        </w:rPr>
        <w:t>E. 4.1</w:t>
      </w:r>
    </w:p>
    <w:p>
      <w:r>
        <w:t>Die Vorinstanz widerspricht dieser Darstellung. Das Konto 1 der Beschwerdeführerin sei nicht mehr mit einer administrativen Sperre belegt, das entsprechende Verfahren sei mit Verfügung vom 2. Juni 2017 abgeschlossen worden. Das Anfechtungsobjekt im vorliegenden Fall sei der Nichteintretensentscheid nach Art. 5 Abs. 1 lit. c VwVG vom 5. April 2018. Da die Zuständigkeit der Vorinstanz letztlich die einzige strittige Frage sei, seien alle Begehren der Beschwerdeführerin, die darüber hinausgingen, für unzulässig zu erklären oder abzuweisen. Für die Rückerstattung sei nach Art. 8 Abs. 5 SRVG ausschliesslich das BJ zuständig.</w:t>
      </w:r>
    </w:p>
    <w:p>
      <w:r>
        <w:rPr>
          <w:b/>
        </w:rPr>
        <w:t>E. 4.2</w:t>
      </w:r>
    </w:p>
    <w:p>
      <w:r>
        <w:t>Vorab ist festzuhalten, dass die administrative Sperre des Kontos 1 der Beschwerdeführerin mit Verfügung vom 2. Juni 2017 aufgehoben wurde. Die Verfügung ist rechtskräftig. Das entsprechende Verfahren vor dem hiesigen Gericht wurde mit Entscheid vom 27. Juni 2017 als gegenstandslos geworden abgeschrieben (Abschreibungsentscheid des BVGer vom 27. Juni 2017, B-7157/2016).</w:t>
      </w:r>
    </w:p>
    <w:p>
      <w:r>
        <w:rPr>
          <w:b/>
        </w:rPr>
        <w:t>E. 4.3</w:t>
      </w:r>
    </w:p>
    <w:p>
      <w:r>
        <w:t>Weiter ist auch die Verfügung des BJ vom 7. Juli 2016, wonach die Rückzahlung zu leisten sei, rechtskräftig (Urteil des BStGer vom 16. Januar 2018 E. 2.2). Nichtigkeitsgründe, wie beispielsweise sachliche oder funktionelle Unzuständigkeit, schwere Verfahrens- oder Eröffnungsfehler oder ausserordentlich schwere inhaltliche Mängel, welche jederzeit und von sämtlichen anderen staatlichen Instanzen von Amtes wegen zu beachten wären, sind nicht zu erkennen (BGE 138 II 501 E. 3.1 mit Hinweisen, Tschanen/Zimmerli/Müller, a.a.O., § 31 Ziff. 2, N. 14).</w:t>
      </w:r>
    </w:p>
    <w:p>
      <w:r>
        <w:rPr>
          <w:b/>
        </w:rPr>
        <w:t>E. 4.4</w:t>
      </w:r>
    </w:p>
    <w:p>
      <w:r>
        <w:t>Wie die Beschwerdeführerin selbst zu Recht ausführt, sind die verschiedenen, voneinander unabhängigen Sperren nach SRVG, nach dem Bundesgesetz über internationale Rechtshilfe in Strafsachen sowie die strafrechtliche Beschlagnahme - mit ihren jeweils eigenen Rechtschutzmöglichkeiten - zu unterscheiden (Botschaft zum Bundesgesetz über die Sperrung und die Rückerstattung unrechtmässig erworbener Vermögenswerte ausländischer politisch exponierter Personen, BBl 2014 5265, 5313 und 5315).</w:t>
      </w:r>
    </w:p>
    <w:p>
      <w:r>
        <w:rPr>
          <w:b/>
        </w:rPr>
        <w:t>E. 4.5</w:t>
      </w:r>
    </w:p>
    <w:p>
      <w:r>
        <w:t>In der Sache selbst geht es vorliegend um ein Verfahren der Strafverfolgungsbehörden, welches sich auf die rechtshilfeweise erfolgte Kontosperre vom 23. Dezember 2015 bezieht. Nachdem mit Verfügung vom 7. Juli 2016 erfolgten Widerruf der Einwilligung zur Kaufpreiszahlung durch das BJ sollen im Verfahren der Strafverfolgungsbehörden die ursprünglichen Vermögensverhältnisse wiederhergestellt werden. Dagegen standen der Beschwerdeführerin Rechtsmittel zur Verfügung (Entscheid des BStGer RR.2017.282, RP.2017.58 vom 16. Januar 2018, E. 2.2, 5.2.1, 6.5, Urteil des Bundesgerichtes 1C_53/2018 vom 1. März 2018, E. 1.2.2).</w:t>
      </w:r>
    </w:p>
    <w:p>
      <w:r>
        <w:rPr>
          <w:b/>
        </w:rPr>
        <w:t>E. 4.6</w:t>
      </w:r>
    </w:p>
    <w:p>
      <w:r>
        <w:t>Richtig ist, dass die Vorinstanz am 28. November 2017 der Bank C._______ auf Nachfrage mitteilte, keine Einwände gegen eine Rückzahlung zu haben.</w:t>
      </w:r>
    </w:p>
    <w:p>
      <w:r>
        <w:rPr>
          <w:b/>
        </w:rPr>
        <w:t>E. 4.6.1</w:t>
      </w:r>
    </w:p>
    <w:p>
      <w:r>
        <w:t>Nach Art. 25a Abs. 1 VwVG kann derjenige, der ein schutzwürdiges Interesse hat, von der Behörde, die für Handlungen zuständig ist, welche sich auf öffentliches Recht des Bundes stützen und Rechte oder Pflichten berühren, verlangen, dass sie widerrechtliche Handlungen unterlässt, einstellt oder widerruft, die Folgen widerrechtlicher Handlungen beseitigt und die Widerrechtlichkeit von Handlungen feststellt (Urteil des BGer 2C_601/2016 vom 15. Juni 2018 [zur Publikation vorgesehen]).</w:t>
      </w:r>
    </w:p>
    <w:p>
      <w:r>
        <w:rPr>
          <w:b/>
        </w:rPr>
        <w:t>E. 4.6.2</w:t>
      </w:r>
    </w:p>
    <w:p>
      <w:r>
        <w:t>Der in Frage stehende Realakt muss sich aber auf öffentliches Recht des Bundes stützen oder hätte sich jedenfalls stützen müssen. Hauptzweck dieser Eintretensvoraussetzung ist es, die dem Verfahren nach Art. 25a VwVG unterliegenden Akte gegenüber dem Straf- und Zivilrecht abzugrenzen. Vorliegend ergibt sich aber die Rechtsgrundlage für den Rückzahlungsanspruch aus dem Bundesgesetz über internationale Rechtshilfe in Strafsachen vom 20. März 1981 (IRSG; SR 351.1) und der dazugehörenden Verordnung vom 24. Februar 1982 (IRSV; SR 351.11). Der dafür zu gewährende Rechtsschutz ist nach Art. 80e ff. IRSG oder auf strafprozessualem Weg, jedoch nicht im Rahmen von Art. 25a VwVG einzufordern (Markus Müller, Rechtsschutz gegen Verwaltungsakte, in: Neue Bundesrechtspflege, 2007, S. 349; Marianne-Tschopp-Christen, Rechtsschutz gengenüber Realakten des Bundes [Art. 25a VwVG], in: Zürcher Studien zum Verfahrensrecht, 2009, S. 106). Eine erneute Überprüfung nach Art. 25a VwVG wäre deshalb, auch unter dem Gesichtspunkt der Subsidiarität, unzulässig (Isabell Häner, in: Waldmann/Weissenberger (Hrsg.), Praxiskommentar VwVG, 2. Aufl. 2016, N36 zu Art. 25a VwVG, Enrico Riva, in: SJZ 103/2007, S. 337,341). Die Unzuständigkeit der Vorinstanz ergibt sich somit auch ohne Verweis auf die Kollisionsnorm von Art. 8 Abs. 5 SRVG.</w:t>
      </w:r>
    </w:p>
    <w:p>
      <w:r>
        <w:rPr>
          <w:b/>
        </w:rPr>
        <w:t>E. 4.6.3</w:t>
      </w:r>
    </w:p>
    <w:p>
      <w:r>
        <w:t>Zusätzlich ist auf die fehlende Kausalität zwischen dem Schreiben der Vorinstanz vom 28. Oktober 2017 und dem Anspruch auf Rückzahlung hinzuweisen. Das Bundesstrafgericht führte dazu aus, dass eine formelle Zustimmung der Vorinstanz im Verfahren der Strafverfolgungsbehörden nicht notwendig gewesen wäre (Entscheid des BStGer RR.2017.282, RP.2017.58 vom 16. Januar 2018, E. 5.4).</w:t>
      </w:r>
    </w:p>
    <w:p>
      <w:r>
        <w:rPr>
          <w:b/>
        </w:rPr>
        <w:t>E. 5</w:t>
      </w:r>
    </w:p>
    <w:p>
      <w:r>
        <w:t>Die Beschwerdeführerin macht weiter geltend, bei der Rückzahlung von dem Konto 3 der E._______ Inc., welches weiterhin mit einer administrativen Sperre belegt ist, handle es sich um eine von der Vorinstanz zu bewilligende Auszahlung nach Art. 9 SRVG. Die Voraussetzungen für eine Teilfreigabe seien jedoch nicht erfüllt.</w:t>
      </w:r>
    </w:p>
    <w:p>
      <w:r>
        <w:rPr>
          <w:b/>
        </w:rPr>
        <w:t>E. 5.1</w:t>
      </w:r>
    </w:p>
    <w:p>
      <w:r>
        <w:t>Die Vorinstanz hält dem entgegen, es handle sich nicht um eine Rückzahlung nach Art. 9 SRVG, welche bewilligungspflichtig sei, schliesslich habe die Zahlung nicht zum Ziel, dem Vermögensinhaber E._______ Inc. zu erlauben, über die Gelder zu verfügen, sondern ziele einzig darauf ab, den Zustand zum Zeitpunkt der rechtshilfeweise erfolgten Sperre vom 23. Dezember 2015 wieder herzustellen.</w:t>
      </w:r>
    </w:p>
    <w:p>
      <w:r>
        <w:rPr>
          <w:b/>
        </w:rPr>
        <w:t>E. 5.2</w:t>
      </w:r>
    </w:p>
    <w:p>
      <w:r>
        <w:t>Nach Art. 9 SRVG kann die Vorinstanz ausnahmsweise die Freigabe einzelner gesperrter Vermögenswerte bewilligen, insbesondere in Härtefällen oder Fällen, in denen die Wahrung wichtiger Schweizer Interessen dies erfordert. Die Sperre von Vermögenswerten ist als Verwaltungsakt weder rechtlich noch automatisch mit strafrechtlichen Massnahmen zur Anordnung oder Aufhebung der Beschlagnahme verbunden. Dennoch ist die Freigabe gesperrter Vermögenswerte, die auch weiterhin Gegenstand einer strafrechtlichen Beschlagnahme oder einer rechtshilfeweise angeordneten Kontosperre nur mit grosser Zurückhaltung anzuordnen (Botschaft zum Bundesgesetz über die Sperrung und die Rückerstattung unrechtmässig erworbener Vermögenswerte ausländischer politisch exponierter Personen, BBl 2014 5265, 5316).</w:t>
      </w:r>
    </w:p>
    <w:p>
      <w:r>
        <w:rPr>
          <w:b/>
        </w:rPr>
        <w:t>E. 5.3</w:t>
      </w:r>
    </w:p>
    <w:p>
      <w:r>
        <w:t>Der vorliegende Sachverhalt lässt sich nicht unter Art. 9 SRVG subsumieren. In Übereinstimmung mit der Vorinstanz geht es nicht um die Freigabe von Geldern, sondern um die Wiederherstellung von Vermögensständen gemäss der rechtshilfeweise erfolgten Sperre vom 23. Dezember 2015. Die fraglichen Gelder werden, auch nach einer Rücküberweisung gesperrt bleiben.</w:t>
      </w:r>
    </w:p>
    <w:p>
      <w:r>
        <w:rPr>
          <w:b/>
        </w:rPr>
        <w:t>E. 6</w:t>
      </w:r>
    </w:p>
    <w:p>
      <w:r>
        <w:t>Zusammenfassend ist der Nichteintretensentscheid der Vorinstanz vom 5. April 2018 zu schützen und die Beschwerde abzuweisen.</w:t>
      </w:r>
    </w:p>
    <w:p>
      <w:r>
        <w:rPr>
          <w:b/>
        </w:rPr>
        <w:t>E. 7</w:t>
      </w:r>
    </w:p>
    <w:p>
      <w:r>
        <w:t>Unter diesen Umständen ist das Ersuchen um vorsorgliche Massnahmen gegenstandlos geworden, worüber auch die Bank C._______ sowie das BJ zu informieren sind.</w:t>
      </w:r>
    </w:p>
    <w:p>
      <w:r>
        <w:rPr>
          <w:b/>
        </w:rPr>
        <w:t>E. 8</w:t>
      </w:r>
    </w:p>
    <w:p>
      <w:r>
        <w:t>Entsprechend dem Ausgang des Verfahrens hat die Beschwerdeführerin die Verfahrenskosten zu tragen (Art. 63 Abs. 1 VwVG sowie Art. 1 ff. des Reglements vom 21. Februar 2008 über die Kosten und Entschädigungen vor dem Bundesverwaltungsgericht [VGKE, SR 173.320.2]). Diese werden auf Fr. 10'500.- festgelegt. Der Restbetrag in der Höhe von Fr. 24'500.- wird nach Eintritt der Rechtskraft zurückerstattet. Der unterliegenden Beschwerdeführerin ist keine Umtriebsentschädigung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