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B-209/2013 vom 16. August 2013</w:t>
      </w:r>
    </w:p>
    <w:p>
      <w:r>
        <w:t>Bundesverwaltungsgericht, 2013-08-16, DE</w:t>
      </w:r>
    </w:p>
    <w:p>
      <w:r>
        <w:rPr>
          <w:b/>
        </w:rPr>
        <w:t xml:space="preserve">Quelle: </w:t>
      </w:r>
      <w:r>
        <w:t>https://mcp.opencaselaw.ch/entscheid/bvger_B-209_2013</w:t>
      </w:r>
    </w:p>
    <w:p>
      <w:r>
        <w:t>FR: TAF B-209/2013 du 16 août 2013</w:t>
      </w:r>
    </w:p>
    <w:p>
      <w:r>
        <w:t>IT: TAF B-209/2013 del 16 agosto 2013</w:t>
      </w:r>
    </w:p>
    <w:p>
      <w:pPr>
        <w:pStyle w:val="Heading2"/>
      </w:pPr>
      <w:r>
        <w:t>Regeste</w:t>
      </w:r>
    </w:p>
    <w:p>
      <w:r>
        <w:t>Höhere Fachprüfung</w:t>
      </w:r>
    </w:p>
    <w:p>
      <w:pPr>
        <w:pStyle w:val="Heading2"/>
      </w:pPr>
      <w:r>
        <w:t>Erwägungen</w:t>
      </w:r>
    </w:p>
    <w:p>
      <w:r>
        <w:rPr>
          <w:b/>
        </w:rPr>
        <w:t>E. 1.1</w:t>
      </w:r>
    </w:p>
    <w:p>
      <w:r>
        <w:t>Der Entscheid der Vorinstanz vom 8. Januar 2013 ist eine Verfügung im Sinne von Art. 5 des Bundesgesetzes über das Verwaltungsverfahren vom 20. Dezember 1968 (Verwaltungsverfahrensgesetz, VwVG, SR 172.021). Diese kann nach dem Bundesgesetz über die Berufsbildung vom 13. Dezember 2002 (Berufsbildungsgesetz, BBG, SR 412.10) im Rahmen der allgemeinen Bestimmungen über die Bundesverwaltungsrechtpflege mit Beschwerde beim Bundesverwaltungsgericht angefochten werden (Art. 61 Abs. 2 BBG i.V.m. Art. 31, Art. 33 lit. d und Art. 37 des Bundesgesetzes über das Bundesverwaltungsgericht vom 17. Juni 2005 [Verwaltungsgerichtsgesetz, VGG, SR 173.32] i.V.m. Art. 44 ff. VwVG).</w:t>
      </w:r>
    </w:p>
    <w:p>
      <w:r>
        <w:rPr>
          <w:b/>
        </w:rPr>
        <w:t>E. 1.2</w:t>
      </w:r>
    </w:p>
    <w:p>
      <w:r>
        <w:t>Als Adressatin der Verfügung ist die Beschwerdeführerin beschwerdelegitimiert im Sinne von Art. 48 VwVG. Die Eingabefrist sowie die Anforderungen an Form und Inhalt der Beschwerdeschrift wurden gewahrt (vgl. Art. 50 sowie 52 Abs. 1 VwVG), und auch die übrigen Sachurteilsvoraussetzungen liegen vor. Auf die Beschwerde ist somit einzutreten.</w:t>
      </w:r>
    </w:p>
    <w:p>
      <w:r>
        <w:rPr>
          <w:b/>
        </w:rPr>
        <w:t>E. 2</w:t>
      </w:r>
    </w:p>
    <w:p>
      <w:r>
        <w:t>Im vorliegenden Verfahren ist einzig darüber zu befinden, ob die Vorinstanz dadurch Bundesrecht verletzt hat, dass sie das Verfahren abgeschrieben hat, ohne materiell zu entscheiden. Ist dies der Fall, so ist die Beschwerde gutzuheissen, die Verfügung aufzuheben und die Sache zu neuem Entscheid an die Vorinstanz zurückzuweisen. Erfolgte die Abschreibungsverfügung hingegen zu Recht, so ist die Beschwerde abzuweisen. Auf die Rügen der Beschwerdeführerin im Zusammenhang mit dem Prüfungszeugnis vom 23. Mai 2012 ist demzufolge nicht einzutreten.</w:t>
      </w:r>
    </w:p>
    <w:p>
      <w:r>
        <w:rPr>
          <w:b/>
        </w:rPr>
        <w:t>E. 3.1</w:t>
      </w:r>
    </w:p>
    <w:p>
      <w:r>
        <w:t>Gemäss Art. 48 Abs. 1 lit. c VwVG ist zur Beschwerde nur berechtigt, wer ein schutzwürdiges Interesse an der Aufhebung oder Änderung der angefochtenen Verfügung hat. Dieses Interesse muss im Allgemeinen nicht bloss bei Einreichung der Beschwerde, sondern auch noch im Zeitpunkt der Urteilsfällung bestehen (vgl. BGE 128 II 34 E. 1b mit Hinweisen). Entfällt das Rechtsschutzinteresse im Verlaufe des Verfahrens, ist Letzteres als gegenstandslos geworden abzuschreiben (vgl. Philippe Weissenberger, in: Bernhard Waldmann/Philippe Weissenberger [Hrsg.], Praxiskommentar zum Bundesgesetz über das Verwaltungsverfahren [VwVG], Zürich/Basel/Genf 2009, Art. 61 Rz. 4, BGE 118 Ib 1 E. 2).</w:t>
      </w:r>
    </w:p>
    <w:p>
      <w:r>
        <w:rPr>
          <w:b/>
        </w:rPr>
        <w:t>E. 3.2</w:t>
      </w:r>
    </w:p>
    <w:p>
      <w:r>
        <w:t>Ungeachtet der zuvor gemachten Ausführungen zur grundsätzlichen Frage der Vereinbarkeit mit Art. 13 i.V.m. Art. 6 Abs. 1 EMRK bzw. Art. 29a BV kann gemäss bisheriger Praxis ausnahmsweise dann auf das Erfordernis eines aktuellen praktischen Rechtsschutzinteresses verzichtet werden, wenn sich die aufgeworfenen grundsätzlichen Fragen jeweils unter gleichen oder ähnlichen Umständen wieder stellen könnten, ohne dass im Einzelfall rechtzeitig eine gerichtliche Prüfung stattfinden könnte oder wenn an deren Beantwortung wegen ihrer grundsätzlichen Bedeutung ein hinreichendes Interesse besteht (vgl. BGE 127 I 164 E. 1a mit Hinweisen). Diese beiden Ausnahmen waren vorliegend nicht gegeben, so dass der Entscheid der Vorinstanz auch unter diesem Gesichtspunkt nicht zu beanstanden ist: Da die Beschwerdeführerin selbst die Prüfung nicht mehr absolvieren musste, konnten die sich stellenden Fragen höchstens bei anderen künftigen Prüfungskandidaten wieder relevant werden. Die gleiche Situation konnte sich aber auch bei ihnen nur dann ergeben, wenn sie nicht von einer Prüfungswiederholung ausgeschlossen waren. Selbst wenn eine Wiederholung zulässig gewesen wäre, verblieb einem potentiellen Beschwerdeführenden indessen die Möglichkeit, den Rechtsmittelentscheid abzuwarten, bevor er sich erneut der Prüfung stellte. Entscheidet er sich dafür, schon früher ein weiteres Mal zur Prüfung anzutreten, kann er sich nicht darauf berufen, die Überprüfung des angefochtenen Entscheides könne nicht rechtskräftig erfolgen (vgl. BGE 118 Ia 488 E. 3b). 4.Zusammenfassend ist festzustellen, dass im vorliegenden Fall mit dem Bestehen der Wiederholungsprüfung das schutzwürdige Interesse entfallen ist, wodurch die Vorinstanz die Beschwerde als gegenstandslos geworden abzuschreiben hatte. Die Beschwerde ist daher abzuweisen. 5.Bei diesem Ausgang des Verfahrens ergibt sich, dass die Beschwerdeführerin als vollständig unterlegene Partei die Kosten des Verfahrens trägt (Art. 63 Abs. 1 VwVG und Art. 1 ff. des Reglements über die Kosten und Entschädigungen vor dem Bundesverwaltungsgericht vom 21. Feb-ruar 2008 [VGKE, SR 172.320.2]). Diese werden auf Fr. 700.- festgelegt und mit dem geleisteten Kostenvorschuss in gleicher Höhe verrechnet. Die Beschwerdeführerin hat keinen Anspruch auf Parteientschädigung (Art. 64 Abs. 1 VwVG, Art. 7 Abs. 1 VGKE). 6.Dieser Entscheid kann nicht mit Beschwerde in öffentlich-rechtlichen Angelegenheiten an das Bundesgericht weitergezogen werden (Art. 83 lit. t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