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B-2099/2011 vom 29. Mai 2012</w:t>
      </w:r>
    </w:p>
    <w:p>
      <w:r>
        <w:t>Bundesverwaltungsgericht, 2012-05-29, DE</w:t>
      </w:r>
    </w:p>
    <w:p>
      <w:r>
        <w:rPr>
          <w:b/>
        </w:rPr>
        <w:t xml:space="preserve">Quelle: </w:t>
      </w:r>
      <w:r>
        <w:t>https://mcp.opencaselaw.ch/entscheid/bvger_B-2099_2011</w:t>
      </w:r>
    </w:p>
    <w:p>
      <w:r>
        <w:t>FR: TAF B-2099/2011 du 29 mai 2012</w:t>
      </w:r>
    </w:p>
    <w:p>
      <w:r>
        <w:t>IT: TAF B-2099/2011 del 29 maggio 2012</w:t>
      </w:r>
    </w:p>
    <w:p>
      <w:pPr>
        <w:pStyle w:val="Heading2"/>
      </w:pPr>
      <w:r>
        <w:t>Regeste</w:t>
      </w:r>
    </w:p>
    <w:p>
      <w:r>
        <w:t>Urheberrecht</w:t>
      </w:r>
    </w:p>
    <w:p>
      <w:pPr>
        <w:pStyle w:val="Heading2"/>
      </w:pPr>
      <w:r>
        <w:t>Erwägungen</w:t>
      </w:r>
    </w:p>
    <w:p>
      <w:r>
        <w:rPr>
          <w:b/>
        </w:rPr>
        <w:t>E. 1</w:t>
      </w:r>
    </w:p>
    <w:p>
      <w:r>
        <w:t>Der angefochtene Beschluss vom 16. Dezember 2010 ist eine Verfügung gemäss Art. 5 des Bundesgesetzes über das Verwaltungsverfahren vom 20. Dezember 1968 (VwVG, SR 172.021). Das Bundesverwaltungsgericht beurteilt Beschwerden gegen Verfügungen gemäss Art. 5 VwVG (Art. 31 des Bundesgesetzes vom 17. Juni 2005 über das Bundesverwaltungsgericht [Verwaltungsgerichtsgesetz, VGG, SR 173.32]), u.a. auch gegen Verfügungen, die von den eidgenössischen Kommissionen erlassen werden, wie der vorliegenden. Ein Ausnahmefall gemäss Art. 32 VwVG liegt nicht vor. Das Bundesverwaltungsgericht ist damit für die Behandlung der vorliegenden Streitsache zuständig.</w:t>
      </w:r>
    </w:p>
    <w:p>
      <w:r>
        <w:rPr>
          <w:b/>
        </w:rPr>
        <w:t>E. 2.1</w:t>
      </w:r>
    </w:p>
    <w:p>
      <w:r>
        <w:t>Die Beschwerde der Beschwerdeführerin 1 ist aufgrund ihrer Rückzugserklärung vom 16. Mai 2012 ohne Prüfung abzuschreiben.</w:t>
      </w:r>
    </w:p>
    <w:p>
      <w:r>
        <w:rPr>
          <w:b/>
        </w:rPr>
        <w:t>E. 2.2</w:t>
      </w:r>
    </w:p>
    <w:p>
      <w:r>
        <w:t>Die Beschwerdeführerin Nr. 2 hat am vorinstanzlichen Verfahren teilgenommen. Sie ist durch die angefochtene Verfügung besonders berührt und hat an deren Änderung ein schutzwürdiges Interesse (vgl. BGE 135 II 172 E. 2 Public viewing; Urteil des Bundesverwaltungsgerichts B 2346/2009 vom 21. Februar 2011 GT 3c [2008-2010] E. 1 Public viewing), wes­halb sie zur Beschwerde gemäss Art. 48 Abs. 1 VwVG legitimiert ist. Eingabefrist und -form sind gewahrt (Art. 50 Abs. 1 und 52 Abs. 1 VwVG), der Kostenvorschuss wurde fristgerecht bezahlt (Art. 63 Abs. 4 VwVG) und die übrigen Sachurteilsvoraussetzungen vor liegen (Art. 48 ff. VwVG). Auf die Beschwerde der Beschwerdeführerin 2 ist damit einzutreten.</w:t>
      </w:r>
    </w:p>
    <w:p>
      <w:r>
        <w:rPr>
          <w:b/>
        </w:rPr>
        <w:t>E. 3</w:t>
      </w:r>
    </w:p>
    <w:p>
      <w:r>
        <w:t>Der Urheber hat nach Art. 10 Abs. 1 des Bundesgesetzes über das Urheberrecht und verwandte Schutzrechte vom 9. Oktober 1992 (URG, SR 231.1) das ausschliessliche Recht zu bestimmen, ob, wann und wie das Werk verwendet wird. Er hat das Recht, das Werk direkt oder mit irgendwelchen Mitteln vorzutragen, aufzuführen, vorzuführen, anderswo wahrnehmbar oder so zugänglich zu machen, dass Personen von Orten und zu Zeiten ihrer Wahl dazu Zugang haben (Art. 10 Abs. 2 Bst. c URG). Insbesondere hat der Urheber auch das Recht, zugänglich gemachte, gesendete und weitergesendete Werke wahrnehmbar zu machen (Art. 10 Abs. 2 Bst. f URG). Die Rechte, gesendete Werke zeitgleich und unverändert wahrnehmbar zu machen oder im Rahmen der Weiterleitung eines Sendeprogrammes weiterzusenden, können nur über zugelassene Verwertungsgesellschaften geltend gemacht werden (Art. 22 Abs. 1 URG). Die Beschwerdeführerin 2 bestreitet in diesem Zusammenhang mit ihrer Beschwerde einzig die Unterstellung der im GT 3c 'Public viewing' (2010-2014) geregelten Nutzungsweise unter die Bundesaufsicht nach Art. 22 Abs. 1 URG (E. 6), ohne daneben die Unangemessenheit des Tarifs im engeren Sinne (Art. 59 Abs. 1 URG) geltend zu machen.</w:t>
      </w:r>
    </w:p>
    <w:p>
      <w:r>
        <w:rPr>
          <w:b/>
        </w:rPr>
        <w:t>E. 4</w:t>
      </w:r>
    </w:p>
    <w:p>
      <w:r>
        <w:t>Das Bundesverwaltungsgericht hat sich im Entscheid B-2346/2009 vom 21. Februar 2011 (GT 3c 'Public Viewing' [2008-2010]), E. 5.6, ausführlich mit der Unterstellungsfrage auseinandergesetzt, namentlich ausgeführt: Auch für das Bundesverwaltungsgericht lässt die gesetzliche Regelung keinen anderen Schluss zu. Das öffentliche Zeigen von Sendungen richtet sich zwar neben dem öffentlichen Auf- und Vorführen von Werken und neben der Sendeverbreitung an ein eigenes, zusätzliches Publikum. Es stellt damit, wie die Beschwerdeführerinnen zurecht geltend machen, eine eigene Nutzungsform dar (...). Diese Nutzung fällt jedoch unabhängig von ihrer Bedeutung für den entsprechenden Anlass und von der Publikums- oder Bildschirmgrösse unter Art. 10 Abs. 2 Bst. f URG, da sie in jedem Fall getrennt von einem allfälligen Studiopublikum (Vorführung) sowie von den Fernsehabonnentinnen und -abonnenten (Sendung) erfolgt, ohne dass es für die Qualifikation dieses Publikums oder für dieses Getrenntsein darauf ankäme, welchen Einfluss der Werkgenuss auf die Entscheidung des Publikums nimmt, das Public Viewing zu besuchen. Die Vorinstanz legt überzeugend dar, dass diese Kriterien auch von der Länge der Bild-diagonale nicht beeinflusst werden. Gleichzeitig mit der gezeigten Sendung erbrachte Zweitleistungen haupt- oder nebensächlicher Natur sind stattdessen, ebenso wie geringere und grössere Teilnehmerzahlen, bei der Berechnung der Tarifentschädigung zu berücksichtigen, die sich in der Regel nach dem erzielten Ertrag richtet (Art. 60 Abs. 1 URG). Es ist seit Jahrzehnten üblich, in Gaststätten und an öffentlichen Anlässen, wenn auch auf kleineren Bildschirmen, Sendungen zeitgleich und unverändert darzubieten. Darum darf angenommen werden, dass diese technische Nutzungsweise und ihre wirtschaftlichen Möglichkeiten dem Gesetzgeber bei der Schaffung von Art. 10 Abs. 2 Bst. f URG im Jahre 1992, unabhängig von der Grösse der Bildschirmdiagonale, ausreichend bekannt waren. Der Gesetzgeber unterstellte das Wahrnehmbarmachen von Sendungen nicht etwa versehentlich, pauschal oder in Abhängigkeit von anderen Nutzungsformen der kollektiven Verwertung, sondern schuf dafür mit Art. 22 URG eine eigene Bestimmung. Allfällige Ausnahmen von der Kollektivverwertung, z.B. zugunsten von Vorführungen auf Grossbildschirmen, wären darum analog zu den Ausnahmen von Art. 22 Abs. 3 URG vom Gesetzgeber zu erlassen. Das Argument der Beschwerdeführerinnen, die Verwertung der Public Viewing-Nutzung sei nicht der Bundesaufsicht zu unterstellen, da sie diese erwiesenermassen erfolgreich selber hätten tätigen können, verkennt, dass im Bereich der Urheberrechte unzählige Berechtigte von dieser Nutzung betroffen sind, sobald urheberrechtlich geschützte Werke in einer gezeigten Sendung enthalten sind, und auch viele (namentlich ausländische) Sendeunternehmen nicht in praktikabler Weise zur Eigenwahrnehmung ihrer Rechte fähig wären. Eine gewisse Solidarität unter den Rechteinhabern liegt insoweit im dem Wesen des Zwangs zur kollektiven Verwertung - unabhängig von der Möglichkeit Einzelner, ihre Rechte in der Praxis selber zu verwerten (...). Hinzu kommt, dass Public Viewings nach der Terminologie von Art. 10 Abs. 2 Bst. c URG, da sie definitionsgemäss nicht am Ort der Aufzeichnung der Sendung stattfinden, den dortigen Begriff der Vorführung im engeren Sinne gar nicht erfüllen. Auch unter dieser Bestimmung fielen sie unter das "anderswo Wahrnehmbarmachen" ("faire voir ou entendre", "far vedere o udire"), liessen sie sich also nicht mehr vom gleichlautenden Be­griff des Wahrnehmbarmachens nach Art. 22 URG abgrenzen. Denn der Anwendungsbereich von Art. 22 URG nimmt das Teilrecht von Art. 10 Abs. 2 Bst. c URG als solches nicht aus, wie die Beschwerdeführerinnen anzunehmen scheinen und in ihren späteren Rechtsschriften im Beschwerdeverfahren durch eine Abgrenzung verschiedener Arten des Wahrnehmbarmachens zu begründen versuchen, sondern beschränkt insgesamt das Verwendungsrecht der Rechteinhaber/innen nach Art. 10 Abs. 1 URG. Entgegen der Ansicht der Beschwerdeführerinnen lässt sich aus den bundesrätlichen Gesetzesentwürfen, die nicht vom heutigen Wortlaut von Art. 22 URG ausgingen und welchen der Gesetzgeber im vorliegenden Punkt nicht gefolgt ist, schon deshalb nichts anderes ableiten, weil diese gar keine Beteiligung von Sendeunternehmen an einer kollektiven Verwertung einführen wollten (E. 5.4). Bei diesem Auslegungsergebnis handelt es sich entgegen der Ansicht in der Replik der Beschwerdeführerinnen nicht um eine restriktiven Kriterien unterstellte Enteignung, sondern um die ursprüngliche gesetzgeberische Ordnung absoluter Rechte und der dazu relativen Schranke der Kollektivverwertung. Auch das Argument der Beschwerdeführerinnen, es handle sich bei Public Viewing um eine Erstnutzung von Sendungen, führt zu keinem anderen Ergebnis. Solche Sendungen stellten nichtdestotrotz zugleich eine Zweitnutzung darin enthaltener Werkvorträge sowie Ton- und Tonbildaufnahmen dar (...), dürfen aber deshalb nicht zugleich einer kollektiven und einer individuellen Verwertung unterstellt sein, da Sinn und Zweck der kollektiven Verwertung grundlegend widersprochen würde (...). Der Feststellung der Vorinstanz, Art. 37 URG gewähre für Sendeunternehmen kein Vorführrecht, ist darum insoweit zuzustimmen, als Sendungen überhaupt nur "anderswo" öffentlich vorgeführt werden können (oder wollen) und das Gesetz dafür konsequent den Begriff des Wahrnehmbarmachens verwendet, so dass ein Vorführrecht an Sendungen schon begrifflich ausscheidet. Die Beschwerdeführerinnen haben hinsichtlich der Unterstellungsfrage für den GT 3c 'Public Viewing' (2010-2014) keine neuen Argumente vorgebracht. Für eine abweichende Beurteilung dieser Frage besteht daher kein Anlass.</w:t>
      </w:r>
    </w:p>
    <w:p>
      <w:r>
        <w:rPr>
          <w:b/>
        </w:rPr>
        <w:t>E. 5</w:t>
      </w:r>
    </w:p>
    <w:p>
      <w:r>
        <w:t>Die Beschwerde der Beschwerdeführerin 2 ist damit ohne weitere Erörterungen abzuweisen.</w:t>
      </w:r>
    </w:p>
    <w:p>
      <w:r>
        <w:rPr>
          <w:b/>
        </w:rPr>
        <w:t>E. 6.1</w:t>
      </w:r>
    </w:p>
    <w:p>
      <w:r>
        <w:t>Die Kosten des Beschwerdeverfahrens werden in der Regel der unterliegenden Partei auferlegt (Art. 63 Abs. 1 VwVG).</w:t>
      </w:r>
    </w:p>
    <w:p>
      <w:r>
        <w:rPr>
          <w:b/>
        </w:rPr>
        <w:t>E. 6.2</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 Februar 2001 [VGKE, SR 173.320.2]). Die vorliegende Streitsache ist vermögensrechtlicher Natur (BGE 135 II 182 E. 3.2 GT 3c), weshalb vor Bundesverwaltungsgericht ein Streitwert zu veranschlagen ist (Art. 4 VGKE).</w:t>
      </w:r>
    </w:p>
    <w:p>
      <w:r>
        <w:rPr>
          <w:b/>
        </w:rPr>
        <w:t>E. 6.3</w:t>
      </w:r>
    </w:p>
    <w:p>
      <w:r>
        <w:t>Vorliegend ist in Anlehnung an das Urteil des Bundesverwaltungsgerichts B-3246/2009, a.a.O., E. 8.1, von einem Streitwert von Fr. 300'000.00 auszugehen. Aufgrund dieses Streitwerts ist für das vorliegende Beschwerdeverfahren von Verfahrenskosten von Fr. 12'000.00 auszugehen. Diese Kosten werden im Umfang von Fr. 9'000.00 der Beschwerdeführerin Nr. 2 auferlegt. Die verbleibenden Fr. 3'000.00 sind der Beschwerdeführerin Nr. 1 aufzuerlegen, weil der Beschwerderückzug zu einem äusserst späten Zeitpunkt erfolgte.</w:t>
      </w:r>
    </w:p>
    <w:p>
      <w:r>
        <w:rPr>
          <w:b/>
        </w:rPr>
        <w:t>E. 6.4</w:t>
      </w:r>
    </w:p>
    <w:p>
      <w:r>
        <w:t>Eine Parteientschädigung ist den unterliegenden Beschwerdeparteien für die den obsiegenden Parteien aus dem Verfahren erwachsenen, notwendigen Kosten aufzuerlegen (Art. 64 Abs. 1 VwVG, Art. 7 Abs. 1 VGKE). Weil vorliegend keine Kostennote eingereicht wurde, ist die Parteientschädigung vorliegend auf Grund der Akten festzusetzen (Art. 14 Abs.1 VGKE).</w:t>
      </w:r>
    </w:p>
    <w:p>
      <w:r>
        <w:rPr>
          <w:b/>
        </w:rPr>
        <w:t>E. 6.5</w:t>
      </w:r>
    </w:p>
    <w:p>
      <w:r>
        <w:t>Angesichts qualifizierter Kenntnisse, wie sie das vorliegende Verfahren erforderte, ist von einem erhöhten Stundenansatz (Fr. 300.00) auszugehen (Art. 10 Abs. 3 VGKE).</w:t>
      </w:r>
    </w:p>
    <w:p>
      <w:r>
        <w:rPr>
          <w:b/>
        </w:rPr>
        <w:t>E. 6.6</w:t>
      </w:r>
    </w:p>
    <w:p>
      <w:r>
        <w:t>Den Beschwerdegegnerinnen Nr. 1-5 ist damit, aufgrund ihrer Aufwendungen im vorliegenden Verfahren, zulasten und unter solidarischer Haftbarkeit der Beschwerdeführerinnen eine Parteientschädigung von Fr. 12'900.00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