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B-2068/2021 vom 13. Oktober 2022</w:t>
      </w:r>
    </w:p>
    <w:p>
      <w:r>
        <w:t>Bundesverwaltungsgericht, 2022-10-13, DE</w:t>
      </w:r>
    </w:p>
    <w:p>
      <w:r>
        <w:rPr>
          <w:b/>
        </w:rPr>
        <w:t xml:space="preserve">Quelle: </w:t>
      </w:r>
      <w:r>
        <w:t>https://mcp.opencaselaw.ch/entscheid/bvger_B-2068_2021</w:t>
      </w:r>
    </w:p>
    <w:p>
      <w:r>
        <w:t>FR: TAF B-2068/2021 du 13 octobre 2022</w:t>
      </w:r>
    </w:p>
    <w:p>
      <w:r>
        <w:t>IT: TAF B-2068/2021 del 13 ottobre 2022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der Vorinstanz unterlegen ist (Art. 48 Abs. 1 VwVG). Die Beschwerde wurde frist- und formgerecht erhoben (Art. 50 Abs. 1, Art. 52 Abs. 1 VwVG) und der Kostenvorschuss rechtzeitig geleistet (Art. 63 Abs. 4 VwVG). Auf die Beschwerde ist daher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und umgekehrt (BGE 128 III 445 E. 3.1 "Appenzeller"; 128 III 99 E. 2.c "Orfina"). Dabei sind die Aufmerksamkeit der massgebenden Verkehrskreise und die Kennzeichnungskraft der Widerspruchsmarke zu berücksichtigen (BGE 121 III 378 E. 2.a "Boss/ Boks"; Urteil des BVGer B-531/2013 vom 21. Oktober 2013 E. 2.1 mit Hinweisen "Gallo/ Gallay [fig.]").</w:t>
      </w:r>
    </w:p>
    <w:p>
      <w:r>
        <w:rPr>
          <w:b/>
        </w:rPr>
        <w:t>E. 2.2</w:t>
      </w:r>
    </w:p>
    <w:p>
      <w:r>
        <w:t>Die Gleichartigkeit der Waren und Dienstleistungen beurteilt sich anhand der Einträge im Markenregister (Urteil des BVGer B-531/2013 E. 2.2 "Gallo/ Gallay [fig.]"), soweit aufgrund einer Nichtgebrauchseinrede keine Einschränkung gegeben ist (Urteil des BVGer B-5179/2012 vom 20. Mai 2014 E. 3.2 "Tivo/ Tivù Sat HD [fig.]; Gallus Joller, in: Noth/ Bühler/ Thouvenin [Hrsg.], Stämpflis Handkommentar Markenschutzgesetz [MSchG] [nachfolgend: MSchG], 2. Aufl. 2017, Art. 3 N. 267).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B-5404/2021 vom 16. August 2022 E. 2.2 "Vifor/ Vitop"; B 2636/ 2015 vom 29. März 2016 E. 3.2 "Axotide/ Acofide").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B-2269/2011 vom 9. März 2012 E. 6.1 "Bonewelding [fig.]"; B-758/2007 vom 26. Juli 2007 E. 5.1 "G-mode/ Gmode"; Joller, MSchG, Art. 3 N. 253 ff.). Die Zugehörigkeit zum gleichen Oberbegriff der Nizza-Klassifikation bildet ein Indiz für Gleichartigkeit (Urteil des BVGer B-5404/2021 vom 16. August 2022 E. 2.2 "Vifor/ Vitop"; Joller, MSchG, Art. 3 N. 274).</w:t>
      </w:r>
    </w:p>
    <w:p>
      <w:r>
        <w:rPr>
          <w:b/>
        </w:rPr>
        <w:t>E. 2.3.1</w:t>
      </w:r>
    </w:p>
    <w:p>
      <w:r>
        <w:t>Die Zeichenähnlichkeit bestimmt sich nach dem Gesamteindruck, den die Marken in der Erinnerung der angesprochenen Verkehrskreise hinterlassen (BGE 128 III 441 E. 3.1 "Appenzeller [fig.]"; 121 III 377 E. 2.a "Boss/ Boks"; 119 II 473 E. 2.d "Radion/ Radiomat"). Dabei ist davon auszugehen, dass die beiden Zeichen meist nicht gleichzeitig wahrgenommen werden. Das Erinnerungs- und Unterscheidungsvermögen der massgebenden Verkehrskreise wird durch die Umstände mitbeeinflusst, unter denen sich der Handel mit Waren der in Frage stehenden Gattung abzuwickeln pflegt, und hängt insb. von der Aufmerksamkeit ab, die beim Einkauf solcher Waren gewöhnlich angewendet wird (BGE 121 III 377 E. 2.a "Boss/ Boks"; 98 II 138 E. 1 "Luwa/ Lumatic"; 93 II 424 E. 2 "Burberrys"; 90 II 259 E. 3 "Schwarzkopf"). Übereinstimmungen im Wortanfang bzw. -ende haben im Erinnerungsbild ein besonderes Gewicht (vgl. BGE 122 III 382 E. 5.b "Kamillosan"; Urteil des BVGer B-531/2013 vom 21. Oktober 2013 E. 6.5 "Gallo/ Gallay [fig.]"). Allerdings führen Übereinstimmungen im Wortanfang für sich alleine nicht direkt zur Zeichenähnlichkeit (Urteile des BGer 4A_178/2021 vom 19. Juli 2021 E. 3.2.2 "Canti/ Cantigue"; 4A_28/2021 E. 6.6.2.1 "Tellco [fig.]/ Tell"; Urteile des BVGer B-3264/2020 vom 26. Januar 2022 E. 2.3.2 "EQ/ EQart"; B-1306/2021 vom 1. Februar 2022 E. 3.3.2 "YT/ EYT [fig.]").</w:t>
      </w:r>
    </w:p>
    <w:p>
      <w:r>
        <w:rPr>
          <w:b/>
        </w:rPr>
        <w:t>E. 2.3.2</w:t>
      </w:r>
    </w:p>
    <w:p>
      <w:r>
        <w:t>Für die Ähnlichkeit von Wortmarken sind der Wortklang, das Schriftbild und der Sinngehalt massgebend, wobei die Übereinstimmung auf einer Ebene i.d.R. zu Annahme einer Zeichenähnlichkeit genügt (BGE127 III 160 E. 2.b.cc; Urteil des BGer 4A_28/2021 vom 18. Mai 2021 E. 6.6.2.1 "Tellco [fig.]/ Tell"; Urteil des BVGer B-6732/2014 vom 20. Mai 2015 E. 2.4 "Calida/ Calyana"). Der Wortklang wird im Wesentlichen durch die Silbenzahl, die Aussprachekadenz und die Aufeinanderfolge der Vokale bestimmt; das Schriftbild durch die Anordnung und optische Wirkung der Buchstaben sowie die Wortlänge (BGE 122 III 382 E. 5.a "Kamillosan"; 119 II 473 E. 2.c "Radion/ Radiomat").</w:t>
      </w:r>
    </w:p>
    <w:p>
      <w:r>
        <w:rPr>
          <w:b/>
        </w:rPr>
        <w:t>E. 2.4.1</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B-5404/2021 vom 16. August 2022 E. 2.3 "Vifor/ Vitop"; B 2636/ 2015 vom 29. März 2016 E. 3.5 "Axotide/ Acofide"); Joller, MSchG, Art. 3 N. 23 f.).</w:t>
      </w:r>
    </w:p>
    <w:p>
      <w:r>
        <w:rPr>
          <w:b/>
        </w:rPr>
        <w:t>E. 2.4.2</w:t>
      </w:r>
    </w:p>
    <w:p>
      <w:r>
        <w:t>Eine starke Kennzeichnungskraft und ein hoher Bekanntheitsgrad einer Marke erhöhen die Wahrscheinlichkeit von Assoziationen und damit die Gefahr, dass die Abnehmer ähnliche Drittmarken missdeuten (BGE 128 III 445 E. 3.1 "Appenzeller"; Urteil des BVGer B-5179/2012 vom 20. Mai 2014 E. 3.5 mit Hinweisen "Tivo/ Tivù Sat HD [fig.]"). Starke Marken sind das Ergebnis einer schöpferischen Leistung oder langen Aufbauarbeit und verdienen deshalb einen weiten Ähnlichkeitsbereich (BGE 122 III 382 E. 2.a "Kamillon/ Kamillosan"; Urteil des BVGer B-5692/2012 vom 17. März 2014 E. 3.5 mit Hinweisen "Yello/ 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 Wer sich auf die Bekanntheit einer Marke beruft, muss diese glaubhaft machen (Urteile des BVGer B-2232/2019 vom 10. Dezember 2019 E. 2.5 "JB Blancpain [fig.]/ Reapain [fig.]"; B-1306/2021 vom 1. Februar 2022 E. 3.4 "YT/ EYT [fig.]"). Die Bekanntheit kann einerseits mit einer demoskopischen Umfrage ermittelt werden, andererseits aber auch mit einem indirekten Nachweis wie Belege (JOLLER, MschG, Art. 3 N. 103). Um eine erhöhte Verkehrsbekanntheit zu bejahen, müssen die Belege in der Schweiz einen langjährigen Gebrauch der Marke und intensive Werbung ausweisen. Auch Umsatzzahlen und die Höhe des Werbeaufwandes können einen intensiven Gebrauch dokumentieren (Urteile des BVGer B-5294/2016 vom 31. Oktober 2018 E. 6.2.3, "Meister/ ZeitMeister"; B-3162/2010 vom 8. Februar 2012 E. 6.4, "5th Avenue [fig.]/ Avenue" [fig.]).</w:t>
      </w:r>
    </w:p>
    <w:p>
      <w:r>
        <w:rPr>
          <w:b/>
        </w:rPr>
        <w:t>E. 2.4.3</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 des BVGer B 2636/ 2015 vom 29. März 2016 E. 3.7 "Axotide/ Acofide").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 Scielo" m.w.H.).</w:t>
      </w:r>
    </w:p>
    <w:p>
      <w:r>
        <w:rPr>
          <w:b/>
        </w:rPr>
        <w:t>E. 3</w:t>
      </w:r>
    </w:p>
    <w:p>
      <w:r>
        <w:t>Als erstes zu prüfen sind die massgeblichen Verkehrskreise, welche ausgehend vom Warenverzeichnis der Widerspruchsmarke festgelegt werden.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 315 E. 6b/bb "Apiella"; 122 II 382 E. 3a "Kamillosan"; Urteil des BGer 4C.258/2004 vom 6. Oktober 2004 E. 2.3 "Yello"). Die Widerspruchsmarke wird unter anderem für die eingangs (Ziff. B.) genannten Waren der Klasse 32 beansprucht, wobei es sich insbesondere um Bier und alkoholfreie (Frucht-)Getränke handelt, welche sich an das breite Publikum richten und zu den Massenartikeln des täglichen Bedarfs gehören (Urteile des BVGer B-3464/2020 vom 8. Juli 2022 E. 3.2 "Ägeribier/ Ägeribier [fig.]"; B-6099/2013 E. 3.2 "CARPE DIEM/ carpe noctem"). Folglich werden diese Produkte mit einem geschwächten Aufmerksamkeitsgrad erworben. Da vom Warenverzeichnis der Widerspruchsmarke ausgegangen wird, bleibt unbeachtlich, ob Slush-Eis-Maschinen und deren Zubehör - wie von der Beschwerdeführerin behauptet - von Fachkreisen nachgefragt werden oder nicht.</w:t>
      </w:r>
    </w:p>
    <w:p>
      <w:r>
        <w:rPr>
          <w:b/>
        </w:rPr>
        <w:t>E. 4</w:t>
      </w:r>
    </w:p>
    <w:p>
      <w:r>
        <w:t>Weiter strittig ist, ob die Waren der Klasse 32, welche von den beiden Marken beansprucht werden, gleichartig sind.</w:t>
      </w:r>
    </w:p>
    <w:p>
      <w:r>
        <w:rPr>
          <w:b/>
        </w:rPr>
        <w:t>E. 4.1</w:t>
      </w:r>
    </w:p>
    <w:p>
      <w:r>
        <w:t>Die Beschwerdeführerin stellt sich auf den Standpunkt, allein die Zugehörigkeit zur gleichen Nizza-Klassifikation stelle noch keine Ähnlichkeit dar. Die Vorinstanz habe lediglich einen Vergleich anhand der Einträge nach der Nizza-Klassifikation gemacht und keine konkrete Prüfung vorgenommen, wie z.B. die Produkte auf dem Markt unter den fraglichen Marken vertrieben werden. Ihrer Ansicht nach seien die Waren an unterschiedliche Empfänger gerichtet, die unterschiedliche Vertriebswege haben (Beschwerde, Ziff. III.1 S. 7 f.).</w:t>
      </w:r>
    </w:p>
    <w:p>
      <w:r>
        <w:rPr>
          <w:b/>
        </w:rPr>
        <w:t>E. 4.2</w:t>
      </w:r>
    </w:p>
    <w:p>
      <w:r>
        <w:t>Gemäss der Beschwerdegegnerin besteht Markenschutz nicht ab-strakt, sondern bleibt auf die bei der Hinterlegung konkret beanspruchten Waren beschränkt. Das Warenverzeichnis definiere materiell den produktspezifischen Schutzumfang der Marke. Anders hätte es ausgesehen, wenn die Einrede des Nichtgebrauchs geltend gemacht worden wäre (Beschwerdeantwort, Ziff. II S. 6).</w:t>
      </w:r>
    </w:p>
    <w:p>
      <w:r>
        <w:rPr>
          <w:b/>
        </w:rPr>
        <w:t>E. 4.3</w:t>
      </w:r>
    </w:p>
    <w:p>
      <w:r>
        <w:t>Grundsätzlich geht die Beschwerdegegnerin korrekt davon aus, dass die Gleichartigkeit von Waren und Dienstleistungen anhand der Einträge im Markenregister beurteilt wird, sofern der sachliche Schutzbereich nicht zufolge der Nichtgebrauchseinrede eingeschränkt ist (vgl. E. 2.2). Der Beschwerdeführerin ist ebenfalls zuzustimmen, dass die Beurteilung unter Berücksichtigung der marktspezifischen Wertschöpfungsketten, Vertriebskanäle und Vermarktungsmöglichkeiten erfolgen muss (vgl. Urteile des BVGer B-478/2017 vom 16. Januar 2018 E. 3.1 "Signifor/Signasol" B-2269/2011 vom 9. März 2012 E. 6.5.1 "Bonewelding [fig.]"). Sie übersieht jedoch, dass weder Ausrüstungs- noch Verbrauchsmaterial zur Herstellung von eisgekühlten Getränken im Warenverzeichnis der angefochtenen Marke aufgeführt sind. Folglich können diese Produkte nicht beim Vergleich der Waren mitberücksichtigt werden.</w:t>
      </w:r>
    </w:p>
    <w:p>
      <w:r>
        <w:rPr>
          <w:b/>
        </w:rPr>
        <w:t>E. 4.4</w:t>
      </w:r>
    </w:p>
    <w:p>
      <w:r>
        <w:t>Die Vorinstanz kommt zu Recht zum Schluss, dass die Waren "Boissons congelées, aromatisées, non gazeuses et non alcoolisées" der angefochtenen Marke mit den Waren "boissons non alcooliques" der Widerspruchsmarke gleichartig sind; dasselbe gilt für "boissons glacées à base de fruits" versus "boissons non alcooliques; boissons de fruits et jus de fruits" sowie für "concentrés pour la préparation de boissons sans alcool" versus "sirops et autres préparations pour faire des boissons". Vorliegend sind die im Vergleich stehenden Waren gleichartig, wenn nicht identisch. Da die Gleichartigkeit nicht gestützt auf den konkreten Gebrauch, sondern ausgehend vom Warenregister geprüft wird (vgl. Urteil des BVGer B-478/2017 vom 16. Januar 2018 E. 6.2 "Signifor/Signasol"), spielt der Aggregatszustand - wie die Vorinstanz richtig erkannt hat - keine Rolle.</w:t>
      </w:r>
    </w:p>
    <w:p>
      <w:r>
        <w:rPr>
          <w:b/>
        </w:rPr>
        <w:t>E. 5</w:t>
      </w:r>
    </w:p>
    <w:p>
      <w:r>
        <w:t>Die zu vergleichenden Marken sind reine Wortmarken. Bei der Beurteilung der Zeichenähnlichkeit müssen daher das Schriftbild, der Wortklang und der Sinngehalt miteinander verglichen werden:</w:t>
      </w:r>
    </w:p>
    <w:p>
      <w:r>
        <w:rPr>
          <w:b/>
        </w:rPr>
        <w:t>E. 5.1</w:t>
      </w:r>
    </w:p>
    <w:p>
      <w:r>
        <w:t>Im Schriftbild ist die Widerspruchsmarke sieben, die angefochtene Marke zehn Buchstaben lang. Dabei stimmen die ersten fünf Buchstaben "grani-" überein. Eine gewisse schriftbildliche Ähnlichkeit liegt somit vor.</w:t>
      </w:r>
    </w:p>
    <w:p>
      <w:r>
        <w:rPr>
          <w:b/>
        </w:rPr>
        <w:t>E. 5.2</w:t>
      </w:r>
    </w:p>
    <w:p>
      <w:r>
        <w:t>In Bezug auf den Wortklang verfügen beide Marken über drei Silben ("gra-ni-ni" und "gra-ni-slush"), wobei die ersten zwei Silben ("gra-ni-") bei beiden gleich sind. Was die Vokalfolge ([a-i-i] und [a-i-u]) anbelangt, ist diese ebenfalls bei beiden Zeichen ähnlich. Selbst wenn beide Marken im Anklang "grani-" übereinstimmen, ist ihre Aussprache aufgrund den unterschiedlichen Endungen eine andere, sodass von einer entfernten klanglichen Ähnlichkeit auszugehen ist.</w:t>
      </w:r>
    </w:p>
    <w:p>
      <w:r>
        <w:rPr>
          <w:b/>
        </w:rPr>
        <w:t>E. 5.3</w:t>
      </w:r>
    </w:p>
    <w:p>
      <w:r>
        <w:t>Für den Sinngehalt der Zeichen ist entscheidend, wie die massgeblichen Verkehrskreise diese verstehen. Englischsprachige Ausdrücke werden im Rahmen der schweizerischen Markenprüfung berücksichtigt, sofern sie für einen erheblichen Teil der massgeblichen Verkehrskreise verständlich sind (BGE 129 III 225 E. 5.1 "Masterpiece"). Vom breiten Publikum kann nach der Rechtsprechung jedoch nur ein Grundwortschatz englischer Vokabeln und keine perfekten Englischkenntnisse erwartet werden (BGE 125 III 193 E. 1c "Budweiser", BGE 108 II 487 E. 3 "Vantage"; Urteile des BVGer B-8058/2010 vom 27. Juli 2011 E. 3.2 "Ironwood", mit weiteren Hinweisen; B-3757/2011 vom 12. April 2013 E. 2.9 "WeightWatchers [fig.]/ WatchWT [fig.]).</w:t>
      </w:r>
    </w:p>
    <w:p>
      <w:r>
        <w:rPr>
          <w:b/>
        </w:rPr>
        <w:t>E. 5.3.1</w:t>
      </w:r>
    </w:p>
    <w:p>
      <w:r>
        <w:t>Hinsichtlich der Bedeutung der Marke GRANINI verweist die Beschwerdeführerin auf die Internetseite der Beschwerdegegnerin, auf welcher diese bekanntgebe, "granini" bezeichne im Italienischen "kleine Körner" (Beschwerde, Ziff. II.8 S. 4). Sie führt aus, im italienischsprachigen Raum sei unter "grani" das Wort "Korn" im Plural zu verstehen (Beschwerde, Ziff. II.10 S. 5). Bei der angefochtenen Marke GRANISLUSH handle es sich um einen Neologismus, der sich einerseits aus dem italienischen Wort "granita" - einem sizilianischen Getränk aus gestapeltem Eis -, andererseits aus dem englischen Begriff "slush" in der Bedeutung "teilweise geschmolzenes Eis" zusammensetze; "granita" werde somit in der Romandie und im Tessin, "slush" in der Deutschschweiz verstanden (Beschwerde, Ziff. II.4 S. 4)</w:t>
      </w:r>
    </w:p>
    <w:p>
      <w:r>
        <w:rPr>
          <w:b/>
        </w:rPr>
        <w:t>E. 5.3.2</w:t>
      </w:r>
    </w:p>
    <w:p>
      <w:r>
        <w:t>Die Beschwerdegegnerin macht keine weiterführenden Ausführungen zum Bedeutungsinhalt der Zeichen. Sie vertritt aber die Ansicht, dass Konsumenten, die den Begriff "grani" kennen, zwangsläufig den Bezug zwischen den beiden Begriffen "grani" (Körner) und "granini" (kleine Körner) sehen werden. Selbst wenn die beiden Marken für einige Konsumenten keinen Bedeutungsgehalt haben und von diesen als Fantasiezeichen wahrgenommen werden, bestehe aufgrund der grossen Ähnlichkeit zwischen "granini"/"grani" eine Verbindung (Beschwerdeantwort, Ziff. II S. 3 f.)</w:t>
      </w:r>
    </w:p>
    <w:p>
      <w:r>
        <w:rPr>
          <w:b/>
        </w:rPr>
        <w:t>E. 5.3.3</w:t>
      </w:r>
    </w:p>
    <w:p>
      <w:r>
        <w:t>Zur Widerspruchsmarke GRANINI führt die Vorinstanz aus, der italienische Begriff "grano" bedeute "Korn, Weizen", die Mehrzahl davon "grani". Die Diminutivform sei "granello", selten auch "granolino" oder "granino". Die Verkleinerungsform werde sehr wenig gebraucht und sei daher nicht unbedingt unmittelbar verständlich. Da "grani" eine Bedeutung habe, werde der Durchschnittsabnehmer bei der angefochtenen Marke GRANI-SLUSH eine Aufteilung in "grani-" und "-slush" und keine Gedankenverbindung zum Getränk Granita machen. Weiter geht die Vorinstanz davon aus, dass unter "slush" "aromatisiertes, gefrorenes Eis" verstanden werde. Zusammen ergebe sich eine Bedeutung von "Weizen, aromatisiertes, gefrorenes Eis" (Beschwerdeantwort, Ziff. III.C.6 ff.).</w:t>
      </w:r>
    </w:p>
    <w:p>
      <w:r>
        <w:rPr>
          <w:b/>
        </w:rPr>
        <w:t>E. 5.3.4</w:t>
      </w:r>
    </w:p>
    <w:p>
      <w:r>
        <w:t>Im italienischen Sprachraum wird unter "grano" "Getreide, Weizen, Korn" verstanden (vgl. https://de.langenscheidt.com/italienisch-deutsch/grano, abgerufen am 1. September 2022). "Grani" steht im Plural für "grano" (vgl. https://dict.leo.org/italienisch-deutsch/grani, abgerufen am 1. September 2022). Mit der Endung "-ini" kann nicht ausgeschlossen werden, dass gewisse Kreise den Gedankenaufwand machen und im Wort "granini" das Diminutiv von "grani" sehen, obwohl "granini" so in keinem Wörterbuch auffindbar ist. Weder die grammatikalische Korrektheit noch die Bezeichnung auf der Homepage der Beschwerdegegnerin spielen für die Beurteilung eine Rolle; vielmehr ist darauf abzustellen, wie dieser Begriff vom Verkehrskreis tatsächlich verstanden wird. Bei der angefochtenen Marke GRANISLUSH führt die Vorinstanz zwar richtig aus, dass eine Aufteilung in "grani-" und "-slush" naheliegt, da "grani" für die Italienisch sprechenden Verkehrskreise eine Bedeutung hat. Ob diese Verkehrskreise auch gleichzeitig die Bedeutung von "slush" als "halbgefrorenes Eisgetränk" kennen, ist jedoch fraglich; "slush" bedeutet direkt übersetzt nämlich "Schlamm, (Schnee-)Match" (vgl. https://dict.leo.org/englisch-deutsch/slush, abgerufen am 1. September 2022). Selbst diesen Begriff wird das breite Publikum (inkl. deutscher und französischer Sprachraum) nicht verstehen, da er nicht zum englischen Grundwortschatz gehört, geschweige denn dessen kulinarische Übersetzung als "halbgefrorenes Eisgetränk". Auch der Rückschluss von "grani-" auf "Granita" (sizilianisches Eis-Dessert) erscheint weit hergeholt. Im Ergebnis stehen sich somit zwei Fantasiezeichen gegenüber, die keinen konkreten Sinngehalt haben.</w:t>
      </w:r>
    </w:p>
    <w:p>
      <w:r>
        <w:rPr>
          <w:b/>
        </w:rPr>
        <w:t>E. 5.4</w:t>
      </w:r>
    </w:p>
    <w:p>
      <w:r>
        <w:t>Insgesamt wird von den Verkehrskreisen kein grosser Unterscheid im Sinngehalt erkannt, der die festgestellte optische und akustische Ähnlichkeit zu beseitigen vermag.</w:t>
      </w:r>
    </w:p>
    <w:p>
      <w:r>
        <w:rPr>
          <w:b/>
        </w:rPr>
        <w:t>E. 6</w:t>
      </w:r>
    </w:p>
    <w:p>
      <w:r>
        <w:t>Schliesslich ist in einer Gesamtbetrachtung und unter Berücksichtigung der Kennzeichnungskraft beider Marken und des Aufmerksamkeitsgrades, den die massgeblichen Verkehrskreise bei der Nachfrage der beanspruchten Waren walten lassen, über die Verwechslungsgefahr zu befinden: Entgegen der Auffassung der Beschwerdeführerin, es handle sich beim Begriff "granini" um Gemeingut, geht die Vorinstanz richtigerweise davon aus, es könne dem Zeichen kein direkt beschreibender Sinngehalt in Verbindung mit den strittigen Waren der Klasse 32 entnommen werden. Daher kommt der Widerspruchsmarke zumindest eine durchschnittliche Kennzeichnungskraft zu. Weiter kommt die Vorinstanz zum Schluss, es sei institutsnotorisch, dass es sich bei der Widerspruchsmarke um eine äusserst bekannte Marke mit erhöhter Kennzeichnungskraft handle (vgl. Verfügung, Ziff. III.D.6 f.). Die Beschwerdeführerin bestreitet die von der Vorinstanz festgestellte Bekanntheit nicht. Aus diesem Grund ist bei der Widerspruchsmarke von einer erhöhten Kennzeichnungskraft mit entsprechend erweitertem Schutzumfang auszugehen. Ob Eisgetränke von der Beschwerdegegnerin als GRANINISLUSH oder als GRANISLUSH verkauft werden, wird den wenig aufmerksamen Verkehrskreisen daher nicht auffallen und eine Verwechslungsgefahr ist zu bejahen. Falls gewisse Abnehmer "-slush" verstehen, "Granita" als sizilianisches Eis-Dessert kennen und zugleich auch noch die Assoziation von "grani-" zu "Granita" machen würden, würde ein unterschiedlicher Sinngehalt erkannt werden. Selbst dann würde diese vernachlässigbar kleine Schnittmenge der Verkehrskreise die Bekanntheit der Widerspruchsmarke im Gesamteindruck aber nicht aufzuwiegen vermögen. In Anbetracht der Gleichheit der Vergleichswaren und der Quasi-Übernahme der Widerspruchsmarke könnten sodann falsche Zusammenhänge vermutet oder der Eindruck erweckt werden, dass es sich bei der angefochtenen Marke um eine Variante der Widerspruchsmarke handelt. Mindestens eine mittelbare Verwechslungsgefahr ist gegeben.</w:t>
      </w:r>
    </w:p>
    <w:p>
      <w:r>
        <w:rPr>
          <w:b/>
        </w:rPr>
        <w:t>E. 7</w:t>
      </w:r>
    </w:p>
    <w:p>
      <w:r>
        <w:t>Im Ergebnis ist die Beschwerde im Haupt- und Eventualstandpunkt abzuweisen und die Verfügung der Vorinstanz vom 30. März 2021 zu bestätigen.</w:t>
      </w:r>
    </w:p>
    <w:p>
      <w:r>
        <w:rPr>
          <w:b/>
        </w:rPr>
        <w:t>E. 8</w:t>
      </w:r>
    </w:p>
    <w:p>
      <w:r>
        <w:t>Bei diesem Ausgang des Verfahrens wird die Beschwerdeführerin kosten- und entschädigungspflichtig (Art. 63 Abs. 1 VwVG;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in gleicher Höhe wird zur Bezahlung der Verfahrenskosten verwendet.</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hat dem Bundesverwaltungsgericht keine Kostennote eingereicht. In Anbetracht des einfachen Schriftenwechsels erscheint eine Parteientschädigung von Fr. 2'000.- für das Beschwerdeverfahren als angemessen. Der Vorinstanz als Bundesbehörde ist keine Parteientschädigung auszurichten (Art. 7 Abs. 3 VGKE).</w:t>
      </w:r>
    </w:p>
    <w:p>
      <w:r>
        <w:rPr>
          <w:b/>
        </w:rPr>
        <w:t>E. 8.3</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