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B-1976/2007 vom 13. August 2007</w:t>
      </w:r>
    </w:p>
    <w:p>
      <w:r>
        <w:t>Bundesverwaltungsgericht, 2007-08-13, DE</w:t>
      </w:r>
    </w:p>
    <w:p>
      <w:r>
        <w:rPr>
          <w:b/>
        </w:rPr>
        <w:t xml:space="preserve">Quelle: </w:t>
      </w:r>
      <w:r>
        <w:t>https://mcp.opencaselaw.ch/entscheid/bvger_B-1976_2007</w:t>
      </w:r>
    </w:p>
    <w:p>
      <w:r>
        <w:t>FR: TAF B-1976/2007 du 13 août 2007</w:t>
      </w:r>
    </w:p>
    <w:p>
      <w:r>
        <w:t>IT: TAF B-1976/2007 del 13 agosto 2007</w:t>
      </w:r>
    </w:p>
    <w:p>
      <w:pPr>
        <w:pStyle w:val="Heading2"/>
      </w:pPr>
      <w:r>
        <w:t>Regeste</w:t>
      </w:r>
    </w:p>
    <w:p>
      <w:r>
        <w:t>Widerspruchssachen</w:t>
      </w:r>
    </w:p>
    <w:p>
      <w:pPr>
        <w:pStyle w:val="Heading2"/>
      </w:pPr>
      <w:r>
        <w:t>Erwägungen</w:t>
      </w:r>
    </w:p>
    <w:p>
      <w:r>
        <w:rPr>
          <w:b/>
        </w:rPr>
        <w:t>E. 1</w:t>
      </w:r>
    </w:p>
    <w:p>
      <w:r>
        <w:t>Der Entscheid der Vorinstanz vom 14. Februar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besonders berührt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Der Beschwerdegegner erhob in der Widerspruchsantwort form- und fristgerecht die Einrede des Nichtgebrauchs des Widerspruchszeichens. Ebenfalls nicht strittig ist, dass zu diesem Zeitpunkt die Karenzfrist für die Marke der Beschwerdeführerin bereits abgelaufen war. Umstritten ist dagegen, ob das Zeichen im relevanten Zeitraum rechtsgenüglich gebraucht worden ist. Die Vorinstanz sah dies aufgrund der eingereichten Belege als unwahrscheinlich an, weshalb sie den Widerspruch abwies.</w:t>
      </w:r>
    </w:p>
    <w:p>
      <w:r>
        <w:rPr>
          <w:b/>
        </w:rPr>
        <w:t>E. 5</w:t>
      </w:r>
    </w:p>
    <w:p>
      <w:r>
        <w:t>Gemäss Art. 12 Abs. 1 MSchG kann der Markeninhaber sein Markenrecht nicht mehr geltend machen, wenn er die Marke im Zusammenhang mit Waren oder Dienstleistungen, für die sie beansprucht wird, während eines ununterbrochenen Zeitraums von fünf Jahren nach unbenütztem Ablauf der Widerspruchsfrist oder nach Abschluss des Widerspruchsverfahrens nicht gebraucht hat, ausser wenn wichtige Gründe für den Nichtgebrauch vorliegen. Art. 11 Abs. 2 MSchG hält fest, dass als Gebrauch der Marke auch der Gebrauch in einer der Eintragung nicht wesentlich abweichenden Form und der Gebrauch für die Ausfuhr gelten.</w:t>
      </w:r>
    </w:p>
    <w:p>
      <w:r>
        <w:rPr>
          <w:b/>
        </w:rPr>
        <w:t>E. 6</w:t>
      </w:r>
    </w:p>
    <w:p>
      <w:r>
        <w:t>Die Beschwerdeführerin stützte ihren Widerspruch auf die Internationale Registrierung IR 712'522 RUDOLPH ROTNASE. Auf den von ihr eingereichten Gebrauchsbelegen verwendete sie demgegenüber ausnahmslos das Zeichen RUDOLPH® mit der roten Nase (fig.). Es ist daher zu prüfen, ob es sich dabei um den Gebrauch der Widerspruchsmarke in einer der Eintragung nicht wesentlich abweichenden Form handelt.</w:t>
      </w:r>
    </w:p>
    <w:p>
      <w:r>
        <w:rPr>
          <w:b/>
        </w:rPr>
        <w:t>E. 7</w:t>
      </w:r>
    </w:p>
    <w:p>
      <w:r>
        <w:t>Als unwesentliche Änderungen der Form der Marke gelten das Weglassen nebensächlicher Bestandteile oder Modernisierungen der Schreibweise der Marke (RKGE in sic! 2004, 107 SEIKO RIVOLI / R RIVOLI (fig.)). Entscheidend ist, dass der kennzeichnungskräftige Kern der Marke, der das markenspezifische Gesamtbild prägt, seiner Identität nicht beraubt wird. Der kennzeichnende Charakter wird nur gewahrt, wenn der Verkehr das abweichend benutzte Zeichen auch bei Wahrnehmung der Unterschiede aus dem Gesamteindruck mit der eingetragenen Marke gleichsetzt. Zu fragen ist, ob der Verkehr Eintragung und Benutzungsform als ein und dasselbe Zeichen ansieht und den geänderten, zugefügten oder weggelassenen Bestandteilen keine eigene kennzeichnende Wirkung beimisst (BGer in sic! 2004, 409 TRIPP TRAPP III mit Hinweis auf E. Marbach, SIWR III, Basel 1996, 176, L. David, Kommentar zum Markenschutzgesetz, 2. Aufl., Basel 1999, Art. 11 MSchG N 14 und C. Willi, Kommentar zum Markenschutzgesetz, Zürich 2002, Art. 11 MSchG N 51 ff.).</w:t>
      </w:r>
    </w:p>
    <w:p>
      <w:r>
        <w:rPr>
          <w:b/>
        </w:rPr>
        <w:t>E. 8</w:t>
      </w:r>
    </w:p>
    <w:p>
      <w:r>
        <w:t>Bei der Widerspruchsmarke handelt es sich um eine Wortmarke, die sich aus dem Namen RUDOLPH sowie der Fantasiebezeichnung ROTNASE zusammensetzt. Aufgrund der Wortkonstellation erkennt der Verkehrsteilnehmer in ersterem einen Vor- und in letzterer einen Nachnamen, wobei der Umstand, dass beide Elemente über denselben Anfangsbuchstaben verfügen, den Anschein eines Künstlernamens oder einer Comicfigur erweckt. Der Bezeichnung RUDOLPH kommt, da sie am Anfang steht, eine besondere Beachtung zu. Hingegen geniesst der Bestandteil ROTNASE infolge höherer Anzahl an Silben und Vokalen sowie wegen seines Fantasiegehaltes grösserer Originalität eine mindestens ebenso hohe Kennzeichnungskraft. Bei dem auf den Gebrauchsbelegen verwendeten Zeichen RUDOLPH® mit der roten Nase (fig.) handelt es sich um eine Wort-/Bildmarke. Diese wird durch den in grosser Schriftgrösse ausgefertigten halbrunden Schriftzug RUDOLPH geprägt, wobei der Abstrich des Anfangsbuchstabens "R" bis zum Schlussbuchstaben "H" gezogen ist und den Namen somit unterstreicht. Zwischen der Schriftwölbung und dem Unterstrich steht in kleiner Schriftgrösse der Zusatz "mit der roten Nase" geschrieben. Dieser wird vom Konsumenten, sofern er ihn überhaupt wahrnimmt, als Beschreibung von RUDOLPH, nicht aber als Teil des Namens aufgefasst, woran entgegen der Auffassung der Beschwerdeführerin auch der vergleichbare Sinngehalt nichts ändert. Somit fehlt dem benutzten Zeichen gegenüber der Widerspruchsmarke der unterscheidungskräftige Bestandteil ROTNASE. Das Weglassen eines solchen Elements führt zu einem anderen Gesamtbild und damit zu einem von der Registrierung wesentlich abweichenden Gebrauch. Steht fest, dass der behauptete Gebrauch der Widerspruchsmarke wesentlich von der Eintragung abweicht, vermögen die von der Beschwerdeführerin vor der Vorinstanz eingereichten Gebrauchsbelege nicht weiterzuhelfen. Die Vorinstanz hat deshalb die Einrede des Nichtgebrauchs des Widerspruchszeichens - wenn auch zum Teil aus anderen Gründen - zurecht bejaht. Die Beschwerdeeingaben enthalten zudem keine neuen Elemente, die auf einen rechtserhaltenden Gebrauch schliessen lassen. Bei solcher Sach- und Rechtslage erübrigt es sich auch, auf den Eventualantrag bzw. die behauptete Verwechslungsgefahr näher einzugehen.</w:t>
      </w:r>
    </w:p>
    <w:p>
      <w:r>
        <w:rPr>
          <w:b/>
        </w:rPr>
        <w:t>E. 9</w:t>
      </w:r>
    </w:p>
    <w:p>
      <w:r>
        <w:t>Die Beschwerde erweist sich demzufolge als unbegründet, weshalb sie abzuweisen und die angefochtene Verfügung zu bestätigen ist. Bei diesem Ausgang des Verfahrens hat die Beschwerdeführerin die Verfahrenskosten zu tragen, diese werden mit dem geleisteten Kostenvorschuss verrechnet, und es steht dem Beschwerdegegner einen Anspruch auf Parteientschädigung zu (Art. 63 Abs. 1 VwVG und Art. 64 Abs. 1 VwVG).</w:t>
      </w:r>
    </w:p>
    <w:p>
      <w:r>
        <w:rPr>
          <w:b/>
        </w:rPr>
        <w:t>E. 10</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Fr. 40'000.--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11</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Beschwerdeführerin an den Beschwerdegegner von Fr. 3'000.-- (inkl. allfällige MWST) für das Beschwerdeverfahren angemessen.</w:t>
      </w:r>
    </w:p>
    <w:p>
      <w:r>
        <w:rPr>
          <w:b/>
        </w:rPr>
        <w:t>E. 12</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