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B-1848/2007 vom 1. Oktober 2007</w:t>
      </w:r>
    </w:p>
    <w:p>
      <w:r>
        <w:t>Bundesverwaltungsgericht, 2007-10-01, DE</w:t>
      </w:r>
    </w:p>
    <w:p>
      <w:r>
        <w:rPr>
          <w:b/>
        </w:rPr>
        <w:t xml:space="preserve">Quelle: </w:t>
      </w:r>
      <w:r>
        <w:t>https://mcp.opencaselaw.ch/entscheid/bvger_B-1848_2007</w:t>
      </w:r>
    </w:p>
    <w:p>
      <w:r>
        <w:t>FR: TAF B-1848/2007 du 1 octobre 2007</w:t>
      </w:r>
    </w:p>
    <w:p>
      <w:r>
        <w:t>IT: TAF B-1848/2007 del 1 ottobre 2007</w:t>
      </w:r>
    </w:p>
    <w:p>
      <w:pPr>
        <w:pStyle w:val="Heading2"/>
      </w:pPr>
      <w:r>
        <w:t>Regeste</w:t>
      </w:r>
    </w:p>
    <w:p>
      <w:r>
        <w:t>Tierwirtschaftliche Produktion (Ohne Milch)</w:t>
      </w:r>
    </w:p>
    <w:p>
      <w:pPr>
        <w:pStyle w:val="Heading2"/>
      </w:pPr>
      <w:r>
        <w:t>Erwägungen</w:t>
      </w:r>
    </w:p>
    <w:p>
      <w:r>
        <w:rPr>
          <w:b/>
        </w:rPr>
        <w:t>E. 1</w:t>
      </w:r>
    </w:p>
    <w:p>
      <w:r>
        <w:t>Ob die Prozessvoraussetzungen vorliegen und auf eine Beschwerde einzutreten ist, prüft das Bundesverwaltungsgericht von Amtes wegen und mit freier Kognition (BVGE B-2202/2006 vom 25. Januar 2007 E. 1 mit Hinweisen).</w:t>
      </w:r>
    </w:p>
    <w:p>
      <w:r>
        <w:rPr>
          <w:b/>
        </w:rPr>
        <w:t>E. 1.1</w:t>
      </w:r>
    </w:p>
    <w:p>
      <w:r>
        <w:t>Die Verfügung des Bundesamtes für Landwirtschaft (BLW) vom 9. Februar 2007 stellt eine Verfügung im Sinne des Bundesgesetzes vom 20. Dezember 1968 über das Verwaltungsverfahren dar (VwVG, SR 172.021; Art. 5 Abs. 1 Bst. c). Das Bundesverwaltungsgericht, welches gemäss Art. 31 des Verwaltungsgerichtsgesetzes vom 17. Juni 2005 (VGG, SR 173.32) als Beschwerdeinstanz Beschwerden gegen Verfügungen nach Art. 5 VwVG beurteilt, ist nach Art. 33 Bst. d VGG und Art. 166 Abs. 2 LwG (zitiert in E. 3.1)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oder Änderung, weshalb sie zur Beschwerdeführung legitimiert ist (Art. 48 Abs. 1 VwVG).</w:t>
      </w:r>
    </w:p>
    <w:p>
      <w:r>
        <w:rPr>
          <w:b/>
        </w:rPr>
        <w:t>E. 1.3</w:t>
      </w:r>
    </w:p>
    <w:p>
      <w:r>
        <w:t>Die Eingabefrist sowie die Anforderungen an Form und Inhalt der Beschwerdeschrift sind gewahrt (Art. 50 und Art. 52 Abs. 1 VwVG), der Vertreter hat sich rechtsgenüglich durch schriftliche Vollmacht ausgewiesen (Art. 11 VwVG), der Kostenvorschuss wurde fristgemäss bezahlt (Art. 63 Abs. 4 VwVG) und die übrigen Sachurteilsvoraussetzungen liegen vor (Art. 44 ff. VwVG). Auf die Beschwerde ist daher einzutreten.</w:t>
      </w:r>
    </w:p>
    <w:p>
      <w:r>
        <w:rPr>
          <w:b/>
        </w:rPr>
        <w:t>E. 2</w:t>
      </w:r>
    </w:p>
    <w:p>
      <w:r>
        <w:t>In formeller Hinsicht macht die Beschwerdeführerin die Verletzung von Ausstandsbestimmungen geltend.</w:t>
      </w:r>
    </w:p>
    <w:p>
      <w:r>
        <w:rPr>
          <w:b/>
        </w:rPr>
        <w:t>E. 2.1</w:t>
      </w:r>
    </w:p>
    <w:p>
      <w:r>
        <w:t>Die Beschwerdeführerin erhebt den Vorwurf, dass der verfügende Beamte, A._______, infolge Befangenheit in den Ausstand hätte treten müssen. Vor seiner Tätigkeit beim BLW sei er Direktor des (...)-zuchtverbandes gewesen. Davor habe er in leitender Stellung bei der S._______, vormals (...), gearbeitet. Die S._______ sei der ehemalige Monopolist und heutige Quasimonopolist auf dem Rinderbesamungsmarkt. Als Direktor des (...)-zuchtverbandes sei Herr A._______ ein vehementer Verfechter gegen die Liberalisierung und damit gegen neue Besamungsstationen gewesen. Die Beschwerdeführerin führt sodann zwei Beispiele von Firmen auf, die daran gehindert worden seien, sich auf dem Markt zu etablieren. Schliesslich seien die Zuchtverbände an den Behinderungen durch die S._______ beteiligt. Das BLW macht demgegenüber geltend, es liege kein sachlicher Grund für eine Befangenheit von Herrn A._______ vor. Es ergebe sich aus den Akten, dass das BLW alles Machbare getan habe, um der Beschwerdeführerin den Zugang zum Rindersamenmarkt im Hinblick auf den neuen, ab 1. Januar 2007 geltenden, Liberalisierungsschritt zu ermöglichen. Andere Firmen hätten zudem ohne Weiteres Zugang zum Rindersamenmarkt erhalten. Seit der Tätigkeit von Herrn A._______ als Angestellter beim (...) Verband (...) seien im Übrigen 13 Jahre und seit seinem Einsitz im Vorstand 5 Jahre vergangen. Selbst wenn eine Verletzung der Ausstandspflicht bejaht werde, bestehe die Möglichkeit der Heilung durch das Bundesverwaltungsgericht. Dies umso mehr als das BLW nicht anders habe entscheiden können, da die Beschwerdeführerin die Voraussetzungen für die Zuteilung eines Zollkontingentsanteils nicht erfülle. Herr A._______ habe im Übrigen an der Behandlung des Gesuchs und an der Ausarbeitung der angefochtenen Verfügung nicht mitgewirkt, sondern diese lediglich unterzeichnet.</w:t>
      </w:r>
    </w:p>
    <w:p>
      <w:r>
        <w:rPr>
          <w:b/>
        </w:rPr>
        <w:t>E. 2.1.1</w:t>
      </w:r>
    </w:p>
    <w:p>
      <w:r>
        <w:t>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 Diese Bestimmung unterscheidet nicht zwischen Ausschlussgründen, die zwingend zu beachten sind, und den Ablehnungsgründen, deren Geltendmachung den Beteiligten freisteht. Vielmehr müssen sämtliche Ausstandsgründe von Amtes wegen berücksichtigt werden (BGE 119 V 456 E. 3b). Diese Ausstandsvorschrift ist sowohl anwendbar auf Personen, welche einen Entscheid alleine oder zusammen mit anderen zu fällen haben als auch auf Personen, welche an einem Entscheid in irgendeiner Form mitwirken und auf den Ausgang des Verfahrens Einfluss nehmen können, sei es beratend oder instruierend (Benjamin Schindler, Die Befangenheit der Verwaltung, Zürich/Basel/Genf 2002, S. 74; vgl. auch Alfred Kölz/Jürg Bosshardt/Martin Röhl, Kommentar zum Verwaltungsrechtspflegegesetz des Kantons Zürich, 2. Aufl., Zürich 1999, Rz. 9 zu § 5a).</w:t>
      </w:r>
    </w:p>
    <w:p>
      <w:r>
        <w:rPr>
          <w:b/>
        </w:rPr>
        <w:t>E. 2.1.2</w:t>
      </w:r>
    </w:p>
    <w:p>
      <w:r>
        <w:t>Auf der angefochtenen Verfügung vom 9. Februar 2007 ist als Sachbearbeiter Herr B._______ aufgeführt. Unterschrieben wurde diese jedoch von Herrn A._______, als stellvertretender Direktor des Bundesamtes für Landwirtschaft. Mit dieser Unterschrift ist zweifelsfrei dargetan, dass Herr A._______ am Erlass der Verfügung mitgewirkt hat. Dies selbst dann, wenn er ansonsten an der Behandlung des Gesuchs und der Ausarbeitung der Verfügung nicht mitgewirkt hat. Denn es kann ohne Weiteres davon ausgegangen werden, dass die Person, welche die Berechtigung für die Unterzeichnung einer Verfügung hat, grundsätzlich auch auf den Inhalt derselben Einfluss nehmen kann. Somit kann als Zwischenresultat festgestellt werden, dass die Ausstandsvorschriften in Bezug auf Herrn A._______ zur Anwendung gelangen.</w:t>
      </w:r>
    </w:p>
    <w:p>
      <w:r>
        <w:rPr>
          <w:b/>
        </w:rPr>
        <w:t>E. 2.1.3</w:t>
      </w:r>
    </w:p>
    <w:p>
      <w:r>
        <w:t>Nach der bundesgerichtlichen Rechtsprechung wird gestützt auch auf den für die Privaten geltenden Grundsatz von Treu und Glauben und das Verbot des Rechtsmissbrauchs (Art. 5 Abs. 3 der Bundesverfassung der Schweizerischen Eidgenossenschaft vom 18. April 1999 [BV, SR 101])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128 V 82 E. 2b, 124 I 121 E. 2).</w:t>
      </w:r>
    </w:p>
    <w:p>
      <w:r>
        <w:rPr>
          <w:b/>
        </w:rPr>
        <w:t>E. 2.1.4</w:t>
      </w:r>
    </w:p>
    <w:p>
      <w:r>
        <w:t>Die Beschwerdeführerin musste ernsthaft damit rechnen, dass Herr A._______, als stellvertretender Direktor des Bundesamtes für Landwirtschaft, am Erlass der angefochtenen Verfügung mitwirken würde. Dies auch dann, wenn dessen Namen der Beschwerdeführerin nicht vorgängig persönlich mitgeteilt wurde. Denn nach der Rechtsprechung des Bundesgerichtes ist der Anspruch auf Bekanntgabe der am Entscheid mitwirkenden Personen genügend erfüllt, wenn deren Namen in einer allgemein zugänglichen Publikation wie etwa einem Staatskalender entnommen werden können (BGE 114 Ia 278 E. 3c). Im vorliegenden Fall konnte die Beschwerdeführerin den Namen des unterzeichnenden Beamten im Eidgenössischen Staatskalender entnehmen, weshalb der Anspruch auf Bekanntgabe des unterzeichnenden Beamten als erfüllt zu betrachten ist. Die von der Beschwerdeführerin gegenüber Herrn A._______ geltend gemachten Befangenheitsgründe mussten ihr bereits lange Zeit vor Erlass der angefochtenen Verfügung bekannt sein, zumal Herr A._______ seit 1. Januar 2002 als Vizedirektor und ab 1. April 2004 als stellvertretender Direktor des Bundesamtes für Landwirtschaft tätig ist und seine Anstellung beim (...) Verband (...) 13 Jahre und sein Einsitz im Vorstand 5 Jahre zurückliegen. Entsprechend hätte die Beschwerdeführerin den Ausstand von Herrn A._______ bereits im Verfahren vor dem BLW verlangen müssen. Indem sie es erst im Verfahren vor dem Bundesverwaltungsgericht tut, ist das Begehren als treuwidrig und verspätet zu qualifizieren. Der Zweck eines Ablehnungsverfahrens besteht unter anderem darin, eine objektive Beurteilung des Gesuchs durch einen unabhängigen (zuständigen) Beamten zu gewährleisten. Die Beschwerdeführerin hat offenbar trotz der geltend gemachten Befangenheitsgründe immer noch volles Vertrauen darauf, dass Herr A._______ in ihrer Angelegenheit unvoreingenommen und unabhängig urteilen kann. Wie sonst lässt sich das Verhalten der Beschwerdeführerin erklären, wenn sie sich mit Schreiben vom 12. April 2007 direkt an Herrn A._______ richtet und erneut ein Gesuch um Erteilung einer Importquote für Rindersperma stellt.</w:t>
      </w:r>
    </w:p>
    <w:p>
      <w:r>
        <w:rPr>
          <w:b/>
        </w:rPr>
        <w:t>E. 2.2</w:t>
      </w:r>
    </w:p>
    <w:p>
      <w:r>
        <w:t>Die Beschwerdeführerin wirft zudem dem ganzen zuständigen Bereich des BLW Befangenheit vor und verlangt dessen Ausstand als Ganzes. Die Beschwerdeführerin verkennt, dass sich ein Ausstandsbegehren immer gegen eine einzelne, natürliche Person richten muss und nicht gegen eine Behörde als Ganzes. Nicht auszuschliessen bleibt indessen, dass in seltenen Ausnahmesituationen sämtliche Einzelmitglieder einer Behörde befangen sein können (Schindler, a.a.O., S.76 mit weiteren Hinweisen auf Lehre und Rechtsprechung). Dies wird von der Beschwerdeführerin aber nicht explizit und begründet geltend gemacht. Sie verlangt zwar die Edition der Lebensläufe aller Mitarbeiter des Bundesamtes in diesem Bereich und Befragung derselben als Zeugen zu ihrem Verhältnis zur S._______. Auf diese Beweismassnahme kann jedoch verzichtet werden. Denn der Beschwerdeführerin waren die von ihr geltend gemachten Gründe der Befangenheit bereits im Verfahren vor dem BLW bekannt. Auch hier gilt, dass ein oder mehrere Beamte so früh als möglich abzulehnen sind. Das BLW führt in seiner Vernehmlassung vom 16. April 2007 zu Recht aus, dass die Beschwerdeführerin vor Erlass der Verfügung mit verschiedenen Vertretern des BLW verhandelt und nie Befangenheitsgründe geltend gemacht hat. Indem die Beschwerdeführerin sich auf den "Verfügungsprozess" einliess, hat sie den Anspruch auf Anrufung der verletzten Verfassungsbestimmung verwirkt.</w:t>
      </w:r>
    </w:p>
    <w:p>
      <w:r>
        <w:rPr>
          <w:b/>
        </w:rPr>
        <w:t>E. 3</w:t>
      </w:r>
    </w:p>
    <w:p>
      <w:r>
        <w:t>Im Rahmen des am 15. April 1994 in Marrakesch multilateral abgeschlossenen Abkommens zur Errichtung der Welthandelsorganisation (GATT/WTO-Übereinkommen, von der Bundesversammlung am 16. Dezember 1994 genehmigt und nach Hinterlegung der schweizerischen Ratifikationsurkunde für die Schweiz am 1. Juli 1995 in Kraft getreten, SR 0.632.20) hat sich die Schweiz verpflichtet, im Bereich der Landwirtschaft die bis dahin getroffenen Importmassnahmen wie mengenmässige Einfuhrbeschränkungen und preisliche Importbelastungen in Zölle umzuwandeln (sog. Tarifizierung aller nicht-tarifären Massnahmen; vgl. Art. 4 des Übereinkommens über die Landwirtschaft, Anhang 1A.3 des GATT/WTO-Übereinkommens; siehe auch René Rhinow/Gerhard Schmid/Giovanni Biaggini, Öffentliches Wirtschaftsrecht, Basel 1998, S. 590 f.). Zur Umsetzung der GATT-Verpflichtungen wurden Zollkontingente geschaffen, welche die minimale Menge eines oder mehrerer landwirtschaftlicher Erzeugnisse darstellen, die zu einem tiefen Zollansatz eingeführt werden können. Die Menge der eingeführten Agrarprodukte wird dadurch nicht mehr direkt, sondern nur noch indirekt über die Festsetzung von Zollansätzen gelenkt (vgl. Botschaft vom 19. September 1994 zur Genehmigung der GATT/WTO-Übereinkommen [Uruguay-Runde], GATT-Botschaft 1, BBl 1994 IV 1 ff., S. 148 ff.; Botschaft vom 19. September 1994 zu den für die Ratifizierung der GATT/WTO-Übereinkommen [Uruguay-Runde] notwendigen Rechtsanpassungen, GATT-Botschaft 2, BBl 1994 IV 950 ff., S. 1029 ff., 1074 ff. und 1140). Wie diese Zollkontingente zu verteilen sind, sieht das oben zitierte Übereinkommen indessen nicht vor. Die Umsetzung wird dem innerstaatlichen Recht überlassen (BGE 128 II 34 E. 2c).</w:t>
      </w:r>
    </w:p>
    <w:p>
      <w:r>
        <w:rPr>
          <w:b/>
        </w:rPr>
        <w:t>E. 3.1</w:t>
      </w:r>
    </w:p>
    <w:p>
      <w:r>
        <w:t>Nach Massgabe des Landwirtschaftsgesetzes vom 29. April 1998 (LwG, SR 910.1) sind bei der Festsetzung der Einfuhrzölle die Versorgungslage im Inland und die Absatzmöglichkeiten für gleichartige inländische Erzeugnisse zu berücksichtigen (Art. 17 LwG). Dabei sind die welthandelsrechtlichen Rahmenbedingungen zu respektieren (insbesondere die Verpflichtung zu Konsolidierung und schrittweiser Senkung der Agrarzölle). Als Instrumente zur Lenkung der Importe stehen dem Bund insbesondere der Schwellenpreis (Art. 20 LwG) und die Zollkontingente (Art. 21 LwG) zur Verfügung. Bei Letzteren wird die Warenmenge bestimmt, welche zu einem vorteilhaften Zollansatz in die Schweiz eingeführt werden kann. Dabei muss für den Import einer zusätzlichen Menge regelmässig ein bedeutend höherer Zoll bezahlt werden, der gewöhnlich prohibitive Wirkung hat (Urteil des Bundesgerichts 2A.53/2004 vom 2. August 2004 E. 2.2). Bei der Bestimmung der Zollkontingente ist der Bund nicht frei, da diese den ausländischen Produzenten den staatsvertraglich vereinbarten Marktzutritt ermöglichen müssen. Sowohl die minimale Menge, welche zum privilegierten Satz importiert werden kann, als auch das Maximalniveau der Zollkontingente sind im Rahmen der GATT-Verhandlungen festgelegt worden (BGE 128 II 34 E. 2b, 129 II 160 E. 2.3).</w:t>
      </w:r>
    </w:p>
    <w:p>
      <w:r>
        <w:rPr>
          <w:b/>
        </w:rPr>
        <w:t>E. 3.2</w:t>
      </w:r>
    </w:p>
    <w:p>
      <w:r>
        <w:t>Um die Ziele der Landwirtschaftsgesetzgebung zu erreichen, kann der Bundesrat gemäss Artikel 10 Absatz 1 des Zolltarifgesetzes vom 9. Oktober 1986 (ZTG, SR 632.10) die Zollansätze für landwirtschaftliche Erzeugnisse im Rahmen des Generaltarifs festsetzen; er nimmt dabei Rücksicht auf die anderen Wirtschaftszweige. Der Generaltarif, nach welchem alle in die Schweiz eingeführten Waren verzollt werden müssen, und die Zollkontingente für landwirtschaftliche Erzeugnisse sind in den Anhängen 1 und 2 zum Zolltarifgesetz festgelegt (Art. 1 Abs. 1 ZTG; Art 21 Abs. 1 LwG). Der Bundesrat kann dabei die Zollkontingente und ihre allfällige zeitliche Aufteilung im Rahmen des Generaltarifs - der als Teil des Zolltarifgesetzes durch den Gesetzgeber selber festgesetzt wird (BBl 1996 IV 108 f.) - ändern (Art. 21 Abs. 2 LwG); dabei gilt Art. 17 LwG sinngemäss (Art. 21 Abs. 3 LwG). Sowohl für die Festsetzung der Einfuhrzölle als auch für die Festlegung und Änderung von Zollkontingenten und der allfälligen zeitlichen Aufteilung sind somit die Versorgungslage im Inland und die Absatzmöglichkeiten für gleichartige inländische Erzeugnisse zu berücksichtigen. Namentlich sollen die Absatzmöglichkeiten für inländische Produkte nicht beeinträchtigt werden, d.h. die Höhe der Zölle soll die Inlanderzeugnisse vor preisgünstigen Importen schützen (BBl 1996 IV 109, Urteil des Bundesgerichts 2A.53/2004 vom 2. August 2004 E. 2.3, 3.4.2). Für einige landwirtschaftliche Produkte hat der Gesetzgeber eine abschliessende Festsetzung des Zollkontingents und dessen zeitliche Aufteilung durch den Bundesrat als nicht sachgerecht erachtet, weil diese Kontingente beispielsweise kurzfristig und häufig bewirtschaftet werden müssen. Hier ist der Bundesrat ermächtigt worden, seine Kompetenz an das Volkswirtschaftsdepartement oder an eine diesem nachgeordnete Amtsstelle, namentlich das Bundesamt für Landwirtschaft, zu übertragen (Art. 21 Abs. 4 LwG; BBl 1996 IV 117). Bei der Verteilung von Zollkontingenten soll der Wettbewerb gewahrt bleiben (Art. 22 Abs. 1 LwG). Die zuständige Behörde verteilt die Zollkontingente namentlich nach folgenden Verfahren und Kriterien: (a.) durch Versteigerung; (b.) nach Massgabe der Inlandleistung; (c.) auf Grund der beantragten Menge; (d.) entsprechend der Reihenfolge des Eingangs der Bewilligungsgesuche; (e.) entsprechend der Reihenfolge der Verzollung; (f.) nach Massgabe der bisherigen Einfuhren der Gesuchsteller (Art. 22 Abs. 2 LwG). Der Bundesrat kann die Kompetenz zur Festlegung von Kriterien zur Verteilung von Zollkontingenten dem Departement übertragen (Art. 22 Abs. 5 LwG).</w:t>
      </w:r>
    </w:p>
    <w:p>
      <w:r>
        <w:rPr>
          <w:b/>
        </w:rPr>
        <w:t>E. 3.3</w:t>
      </w:r>
    </w:p>
    <w:p>
      <w:r>
        <w:t>Unter anderem gestützt auf Art. 21 Abs. 2 und Art. 177 LwG hat der Bundesrat die Agrareinfuhrverordnung vom 7. Dezember 1998 (AEV, SR 916.01) erlassen. Danach bedarf die Einfuhr landwirtschaftlicher Erzeugnisse der in einem der Anhänge zu dieser Verordnung oder in einer marktordnungsspezifischen Produkteverordnung aufgeführten Zolltarifnummern einer Bewilligung. Die Bewilligung wird als Generaleinfuhrbewilligung (GEB) für bestimmte Erzeugnisse erteilt (Art. 1 Abs. 1 AEV). Die Zollkontingente, die Teilzollkontingente und die Richtmengen sind in Anhang 4 der Agrareinfuhrverordnung festgelegt (Art. 10 AEV). Gemäss Ziffer 2 des erwähnten Anhangs beträgt der Umfang des Zollkontingents Nr. 12 Samen von Stieren (Tarifnummer 0511.1010) 800'000 Dosen. Der Zollkontingentsanteil kann nur innerhalb der Kontingentsperiode oder der zeitlich beschränkten Freigabe ausgenützt werden. Als Kontingentsperiode gilt das Kalenderjahr (Art. 11 AEV). Als Zollkontingentsberechtigte gelten die Personen, welche die allgemeinen und die besonderen Voraussetzungen für die Zuteilung eines Zollkontingentsanteils erfüllen (Art. 12 Abs. 1 AEV). Dabei können Zollkontingentsanteile Personen, die im schweizerischen Zollgebiet Wohnsitz oder Sitz haben, zugeteilt werden. Die Zuteilung eines Zollkontingentsanteils setzt eine Generaleinfuhrbewilligung (GEB) voraus (Art. 13 AEV). Die Beschwerdeführerin erhielt mittels Verfügung vom 11. September 2006 eine Generaleinfuhrbewilligung (GEB-Nr. ...) und gestützt auf die Verfügung des BLW vom 15. November 2006 eine Menge von (...) Dosen Stiersamen als Zollkontingentsanteil zugeteilt (für die Periode vom 15. November 2006 bis 31. Dezember 2006). Eine Zuteilung für die Kontingentsperiode vom 1. Januar 2007 bis 31. Dezember 2007 wurde der Beschwerdeführerin mittels Verfügung vom 9. Februar 2007 verweigert, da sie die Voraussetzungen nicht erfülle.</w:t>
      </w:r>
    </w:p>
    <w:p>
      <w:r>
        <w:rPr>
          <w:b/>
        </w:rPr>
        <w:t>E. 3.4</w:t>
      </w:r>
    </w:p>
    <w:p>
      <w:r>
        <w:t>Die unter anderem gestützt auf Art. 144 Abs. 2, 145 Abs. 2 und 146 LwG erlassene Verordnung vom 7. Dezember 1998 über die Tierzucht (SR 916.310) regelt im 4. Kapitel (Inverkehrbringen von Zuchttieren sowie deren Samen, unbefruchteten Eizellen und Embryonen) unter dem 2. Abschnitt die Einfuhr von Zuchttieren und Samen von Stieren im Rahmen der Zollkontingente. Für die Einfuhr von Samen mit der in Frage stehenden Zolltarifnummer 0511 bedarf es einer Generaleinfuhrbewilligung (Art. 24 Abs. 1 der Verordnung über die Tierzucht).</w:t>
      </w:r>
    </w:p>
    <w:p>
      <w:r>
        <w:rPr>
          <w:b/>
        </w:rPr>
        <w:t>E. 3.4.1</w:t>
      </w:r>
    </w:p>
    <w:p>
      <w:r>
        <w:t>Die geltende Ordnung unterscheidet sich wesentlich von der früheren Regelung. Gemäss den bis 31. Dezember 2006 geltenden Bestimmungen unterlag die Gewinnung, die Lagerung und der Vertrieb von Stierensamen einer Bewilligung des Bundesamtes für Landwirtschaft. Die Bewilligung als KB-Organisation wurde dabei erteilt, wenn der Gesuchsteller: (a) die Rechtspersönlichkeit besass; (b) Sitz oder Wohnsitz in der Schweiz hatte; (c) für die Haltung der Stiere und die Samenentnahme über geeignete Gebäude und die Einrichtungen verfügte, das erforderliche Fachpersonal nachwies und mit im Inland gezüchteten Stieren Samen produzierte und im Inland vertrieb und (d) Verträge vorwies, aus denen hervorging, wie die Prüfung von Jungstieren zusammen mit den anerkannten Zuchtorganisationen nach Artikel 2 vorgesehen war. Die Verträge mussten die Modalitäten der Nachzuchtprüfung, insbesondere den Datentausch, die Auswertung und Publikation der Prüfresultate sowie die finanzielle Abgeltung regeln (Art. 15 der Verordnung über die Tierzucht in der Fassung von AS 1999 95). Zollkontingentsberechtigt für Samen von Stieren waren die bewilligten KB-Organisationen, Züchterinnen und Züchter für die Eigenbestandsbesamung sowie anerkannte Zuchtorganisationen und Züchtervereinigungen, die den importierten Samen über eine bewilligte KB-Organisation vertrieben (Art. 25 Abs. 2 der Verordnung über die Tierzucht in der Fassung vom 7. Dezember 1998, AS 1999 95).</w:t>
      </w:r>
    </w:p>
    <w:p>
      <w:r>
        <w:rPr>
          <w:b/>
        </w:rPr>
        <w:t>E. 3.4.2</w:t>
      </w:r>
    </w:p>
    <w:p>
      <w:r>
        <w:t>Das Bundesgericht hat im Jahre 2005 einen Entscheid der ehemaligen Rekurskommission EVD geschützt und entschieden, dass Art. 145 LwG zwar eine genügende gesetzliche Grundlage darstelle, um den Bundesrat zu ermächtigen, die Bewilligungspflicht betreffend den Vertrieb von Stierensamen zu regeln. Jedoch bilde weder Art. 15 noch Art. 25 Abs. 2 der Tierzuchtverordnung (in der Fassung vom 7. Dezember 1998, AS 1999 95) eine genügende Grundlage, die es erlauben würde, die Lagerung und den Vertrieb der Bewilligungspflicht zu unterstellen sowie eine Vertriebsgesellschaft zu zwingen, den Stiersamen ausschliesslich bei den bewilligten KB Organisationen zu beziehen (Urteil des Bundesgerichts 2A.453/2004 vom 23. März 2005 E. 4.3).</w:t>
      </w:r>
    </w:p>
    <w:p>
      <w:r>
        <w:rPr>
          <w:b/>
        </w:rPr>
        <w:t>E. 3.4.3</w:t>
      </w:r>
    </w:p>
    <w:p>
      <w:r>
        <w:t>Obwohl die Beschwerdeführerin nach Dafürhalten des BLW zwei unter dem alten Recht geltende Voraussetzungen für die Bewilligung als KB-Organisation nicht erfüllte, wurde ihr mit Verfügung vom 31. Oktober 2006 trotzdem eine für die Gewinnung, die Lagerung und den Vertrieb von Stiersamen bis 31. Dezember 2006 befristete Bewilligung erteilt. Diese Ausnahmeregelung begründete das BLW einerseits mit der bevorstehenden neuen Regelung betreffend die Durchführung der künstlichen Besamung per 1. Januar 2007. Andererseits anerkannte das BLW anstelle der in Art. 15 Abs. 2 Bst. c der Tierzuchtverordnung (in der Fassung vom 7. Dezember 1998, AS 1999 95) aufgeführten Voraussetzung das von der Firma Y._______ AG übernommene Samenlager im Umfang von (...) Dosen als Inlandleistung und anstelle des Erfordernisses von Art. 15 Abs. 2 Bst. d, eine Entschädigung an die entsprechende Zuchtorganisation von 3 Franken pro verkaufte Dose für Milch- und Zweinutzungsrassen und eine solche von 1 Franken für Fleischrassen. Diese Verfügung wurde von der Beschwerdeführerin nicht angefochten, weshalb sie in Rechtskraft erwachsen ist. Entsprechend kann auf die von der Beschwerdeführerin nun in der Beschwerde vom 12. März 2007 vorgebrachte Rüge, es seien widerrechtlich Zusatzgebühren verlangt worden, infolge verspäteter Geltendmachung derselben nicht eingetreten werden.</w:t>
      </w:r>
    </w:p>
    <w:p>
      <w:r>
        <w:rPr>
          <w:b/>
        </w:rPr>
        <w:t>E. 3.5</w:t>
      </w:r>
    </w:p>
    <w:p>
      <w:r>
        <w:t>Mit Inkrafttreten der revidierten Tierzuchtverordnung am 1. Januar 2007 wurden die Artikel 15-18 bezüglich Bewilligungspflicht für KB-Organisationen aufgehoben (AS 2006 4861). Entsprechend gelten für die Gewinnung, die Lagerung und den Vertrieb inskünftig ausschliesslich die veterinärrechtlichen Bestimmungen der Tierseuchengesetzgebung (SR 916.40). Beibehalten wurden die Zuteilung der Zollkontingentsanteile für Stiersamen auf Grund einer Inlandleistung und der geltende Grenzschutz mit einem Ausserkontingentszollansatz (5 Fr. je Dose). Gemäss Art. 25 Abs. 3 der ab 1. Januar 2007 geltenden Fassung der Tierzuchtverordnung können Zollkontingentsanteile für Samen von Stieren im Inland produzierenden Besamungsstationen zugeteilt werden, die regelmässig im Inland geborene Stiere prüfen und im Durchschnitt der letzten zwei Jahre vor dem Kontingentsjahr gesamthaft mindestens 50 Prozent des Samens von inländischen Stieren verkauften. Dieser Anteil ist mittels Aufzeichnungen über die Produktion und den Zu- und den Verkauf von Samen getrennt nach Rassen und Stierenkategorien nachzuweisen. Diese Voraussetzungen müssen kumulativ erfüllt sein. Neuen Besamungsstationen können in den ersten zwei Jahren Zollkontingentsanteile zugeteilt werden, sofern sie Samen von inländischen Stieren produzieren und verkaufen (Art. 25 Abs. 4 Tierzuchtverordnung).</w:t>
      </w:r>
    </w:p>
    <w:p>
      <w:r>
        <w:rPr>
          <w:b/>
        </w:rPr>
        <w:t>E. 4</w:t>
      </w:r>
    </w:p>
    <w:p>
      <w:r>
        <w:t>Ohne eingehende Begründung macht die Beschwerdeführerin unter anderem sinngemäss geltend, die in Art. 25 Tierzuchtverordnung genannten Voraussetzungen für eine Zuteilung von Zollkontingentsanteilen verfügten über keine genügende gesetzliche Grundlage.</w:t>
      </w:r>
    </w:p>
    <w:p>
      <w:r>
        <w:rPr>
          <w:b/>
        </w:rPr>
        <w:t>E. 4.1</w:t>
      </w:r>
    </w:p>
    <w:p>
      <w:r>
        <w:t>Auf Beschwerde hin kann das Bundesverwaltungsgericht Verordnungen des Bundesrats vorfrageweise auf ihre Gesetzes- und Verfassungsmässigkeit prüfen. Handelt es sich wie im vorliegend zu beurteilenden Fall um eine unselbständige Verordnung, die sich auf eine gesetzliche Delegation stützt, prüft das Gericht,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der Verordnungsebene eingeräumt, so ist dieser Spielraum für das Bundesgericht, wie auch das Bundesverwaltungsgericht, verbindlich; sie dürfen in diesem Falle bei der Überprüfung der Verordnung nicht ihr eigenes Ermessen an die Stelle desjenigen des Bundesrates setzen, sondern sie beschränken sich auf die Prüfung, ob die Verordnung den Rahmen den dem Bundesrat im Gesetz delegierten Kompetenzen offensichtlich sprengt oder aus anderen Gründen gesetz- oder verfassungswidrig ist (BGE 128 II 34 E. 3b und 120 Ib 97 E. 3a). Demgegenüber trägt der Bundesrat die Verantwortung für die Zweckmässigkeit der angeordneten Massnahmen; es kann nicht Aufgabe des Bundesverwaltungsgerichts sein, zu untersuchen, ob die in der Verordnung getroffenen Massnahmen wirtschaftlich und agrarpolitisch zweckmässig sind (BGE 128 II 34 E. 3b und 99 Ib 159 E. 3b).</w:t>
      </w:r>
    </w:p>
    <w:p>
      <w:r>
        <w:rPr>
          <w:b/>
        </w:rPr>
        <w:t>E. 4.2</w:t>
      </w:r>
    </w:p>
    <w:p>
      <w:r>
        <w:t>Gemäss Art. 22 Abs. 1 LwG soll bei der Verteilung von Zollkontingenten der Wettbewerb gewahrt bleiben. In Art. 22 Abs. 2 LwG werden die Kriterien für die Verteilung der Zollkontingente angeführt. Dass es sich dabei nicht um eine abschliessende Aufzählung handelt zeigt sich im Wort "namentlich" ("notamment" auf französisch und "segnatamente" auf italienisch). Der Bundesrat kann somit die Verteilung nach einem der im Gesetz ausdrücklich genannten Kriterien vornehmen, ein anderes wählen oder diese in Bezug auf den massgebenden Markt kombinieren. Es steht dem Bund grundsätzlich frei, Art und Kriterien zur Verteilung von Zollkontingenten zu bestimmen, solange dadurch der völkerrechtlich vereinbarte Marktzutritt nicht geschmälert wird. Die in Art. 22 Abs. 1 LwG statuierte Pflicht zur Wahrung des Wettbewerbs bedeutet, dass a priori niemand, der die für die Verteilung der Zollkontingente festgelegten Kriterien erfüllt, zum vornherein von der Bezugsberechtigung ausgeschlossen wird (Botschaft vom 26. Juni 1996 zur Reform der Agrarpolitik: Zweite Etappe [Agrarpolitik 2002], in BBl 1996 IV 1, S. 117 ff.; nachfolgend: Botschaft Agrarpolitik 2002). Im Bereich der Kontingentszuteilungen erscheint das Gleichbehandlungsgebot, soweit es Wettbewerbsverzerrungen untersagt, relativiert: Wo Anlass für die Aufstellung eines Kontingentierungssystem besteht, spielt der freie Wettbewerb naturgemäss gerade nicht. Dies entbindet aber die zuständigen Behörden nicht von der Pflicht, den weiteren Aspekten des Gleichbehandlungsgebotes Rechnung zu tragen. Bei der Beurteilung der Frage, ob dabei für die Kontingentszuteilung, d.h. für die Umschreibung des Kreises der Begünstigten, nach sachgerechten Kriterien vorgegangen worden ist, muss insbesondere dem Zweck sowie dem Kontext der zur Anwendung kommenden Kontingentsregelung sowie der Missbrauchsgefahr Beachtung geschenkt werden (Urteil des Bundesgerichts 2P.59/2003 vom 5. Dezember 2003 E. 4). Der Bundesrat verfügt folglich bei der Regelung des Kontingentssystems über einen weiten Spielraum.</w:t>
      </w:r>
    </w:p>
    <w:p>
      <w:r>
        <w:rPr>
          <w:b/>
        </w:rPr>
        <w:t>E. 4.3</w:t>
      </w:r>
    </w:p>
    <w:p>
      <w:r>
        <w:t>Mit Urteil vom 28. September 2007 (B-1964/2007 E. 5 ff.) hat das Bundesverwaltungsgericht die Gesetzmässigkeit der in Art. 25 der Tierzuchtverordnung aufgeführten Voraussetzungen für die Zuteilung von Zollkontingentsanteilen bejaht und festgehalten, diese seien geeignet um die vom Gesetz anvisierten Ziele zu erreichen. Der Bundesrat habe zudem mit der vorgesehenen Regelung die Grenzen der ihm im Gesetz eingeräumten Befugnisse nicht überschritten. Dies wird nicht zuletzt mit Blick auf die gesetzlichen Bestimmungen ersichtlich. Diese sehen vor, dass der Bund Massnahmen zu treffen hat, um unter anderem die Pflanzen- und Tierzucht zu fördern (Art. 2 Abs. 1 Bst. e LwG). Im 3. Kapitel des 6. Titels des Landwirtschaftsgesetzes, welches der Pflanzen- und Tierzucht gewidmet ist, wird in Art. 141 Abs. 1 LwG bestimmt, dass der Bund die Zucht von Nutztieren fördern kann, die den natürlichen Verhältnissen des Landes angepasst sind (a), die leistungs- und widerstandsfähig sind (b) und, eine auf den Markt ausgerichtete und kostengünstige Erzeugung hochwertiger viehwirtschaftlicher Produkte ermöglichen (c). Dabei soll die Zuchtförderung eine hoch stehende eigenständige Zucht gewährleisten (Art. 141 Abs. 2 LwG). Der Bund kann gemäss Art. 142 Abs. 1 LwG anerkannten Organisationen Beiträge ausrichten, insbesondere für: (a) die Führung von Zucht- und Herdebüchern, die Leistungsprüfungen und die Zuchtwertschätzung; (b) Programme zur Leistungs- und Qualitätsförderung sowie zur Sanierung und Gesunderhaltung von Tierbeständen; (c) Massnahmen zur Erhaltung der Schweizer Rassen. Betreffend die künstliche Besamung sieht Art. 145 LwG vor, dass der Bundesrat die Gewinnung und den Vertrieb von Sperma und Embryonen von Nutztieren sowie den Besamungsdienst der Bewilligungspflicht unterstellen kann (Abs. 1). Es obliegt dem Bundesrat, die Bewilligungsvoraussetzungen festzulegen (Abs. 2). In Abs. 3 wird präzisiert, dass der Bundesrat dafür zu sorgen hat, dass ein angemessener Anteil des eingesetzten Spermas von Tieren aus Zuchtprogrammen anerkannter inländischer Zuchtorganisationen stammt. Das Bundesverwaltungsgericht hat im erwähnten Entscheid (B-1964/2007) insbesondere die Gesetzmässigkeit des Erfordernisses der Inlandproduktion ("im Inland produzierende Besamungsstation") mit Hinweisen auf die massgebliche Botschaft bejaht. Denn danach soll mit der staatlichen Zuchtförderung eine eigenständige Tierzucht auf den bäuerlichen Betrieben sicher gestellt werden, damit die spezifische Nachfrage der inländischen Konsumentenschaft befriedigt werden kann. Ziel ist eine hohe Qualität der erzeugten tierischen Produkte und die Wirtschaftlichkeit der Tierhaltung. Diese hängen in starkem Masse vom genetischen Potential der im Land gezüchteten und gehaltenen Nutztiere ab (Botschaft Agrarpolitik 2002, a.a.O., S. 269 f.). Voraussetzung für eine kostengünstige und qualitativ hochstehende Erzeugung tierischer Produkte sind gesunde und widerstandsfähige Tiere, die über ein genetisches Leistungspotential verfügen, das der natürlichen Umgebung in der sie leben entspricht und das den wirtschaftlichen Bedingungen des Marktes Rechnung trägt. Dabei wird gemäss Botschaft unter den natürlichen Verhältnissen die in unserem Land sehr unterschiedlichen Faktoren wie Topographie, Höhenlage, Exposition, Bodenart und Klima, aber auch die Haltungsbedingungen wie Alpungs-, Weide- und Einstallungsmöglichkeiten verstanden (Botschaft Agrarpolitik 2002, a.a.O., S. 272). Es liegen deshalb keine Gründe vor, um von der im Entscheid vom 28. September 2007 (B-1964/2007 E. 5 ff.) begründeten Rechtsprechung abzuweichen.</w:t>
      </w:r>
    </w:p>
    <w:p>
      <w:r>
        <w:rPr>
          <w:b/>
        </w:rPr>
        <w:t>E. 5</w:t>
      </w:r>
    </w:p>
    <w:p>
      <w:r>
        <w:t>Die weiteren materiellen Rügen der Beschwerdeführerin zielen hauptsächlich darauf hin, ihr gestützt auf Art. 25 Abs. 4 der Tierzuchtverordnung während zwei Jahren Zollkontingentsanteile zuzuteilen. Das BLW habe die Besamungsstation der Beschwerdeführerin für das Jahr 2006 als inländische Besamungsstation anerkannt. Schliesslich produziere und verkaufe sie Samen von inländischen Stieren, welche lediglich in Tschechien stationiert seien.</w:t>
      </w:r>
    </w:p>
    <w:p>
      <w:r>
        <w:rPr>
          <w:b/>
        </w:rPr>
        <w:t>E. 5.1</w:t>
      </w:r>
    </w:p>
    <w:p>
      <w:r>
        <w:t>Erste Voraussetzung für die Zuteilung eines Zollkontingentsanteils ist das Vorliegen einer im Inland produzierenden Besamungsstation (Art. 25 Abs. 3 und 4 Tierzuchtverordnung). Der Wortlaut dieser Bestimmung ist klar, eindeutig und unmissverständlich, weshalb von diesem - da keine triftigen Gründe vorliegen - nicht abzuweichen ist (Urteil des Bundesgerichts 2A.108/2003 vom 2. Oktober 2003 E. 3.3).</w:t>
      </w:r>
    </w:p>
    <w:p>
      <w:r>
        <w:rPr>
          <w:b/>
        </w:rPr>
        <w:t>E. 5.1.1</w:t>
      </w:r>
    </w:p>
    <w:p>
      <w:r>
        <w:t>Die Beschwerdeführerin macht nicht geltend, sie sei im Besitz einer vom Kantonstierarzt erteilten Betriebsbewilligung für eine im Inland produzierende Besamungsstation (Art. 51 Abs. 3 und Art. 54 der Tierseuchenverordnung vom 27. Juni 1995 [TSV, SR 916.401]). Sie macht in ihrer Beschwerde darauf aufmerksam, dass es für den Aufbau einer eigenen Produktionsstätte Zeit brauche (2 Jahre). Auch aus dem Schreiben vom 12. April 2007 an das BLW (Herrn A._______) lässt sich entnehmen, dass die Beschwerdeführerin zwar den Aufbau einer eigenen Produktionsstätte plant, diese jedoch zur Zeit noch nicht verwirklicht ist. Sie führt jedoch aus, sie sei für das Jahr 2006 vom BLW als Besamungsstation anerkannt worden. Die Verweigerung der Anerkennung sei rückwirkender Art. Es könne nicht im Belieben des Amtes sein, ein solche Bewilligung zu erteilen oder nicht. Die Nichterteilung laufe darauf hinaus, die Tätigkeit der Beschwerdeführerin im Kernbereich zu untersagen, ohne dass dafür triftige Gründe vorliegen würden. Die massgebenden Bestimmungen seien so auszulegen, dass eine Weiterführung des Unternehmens möglich sei. Sofern die Beschwerdeführerin mit diesen Vorbringen die Grundsätze des Vertrauensschutzes und von Treu und Glauben heranziehen will, kann sie nichts zu ihren Gunsten ableiten.</w:t>
      </w:r>
    </w:p>
    <w:p>
      <w:r>
        <w:rPr>
          <w:b/>
        </w:rPr>
        <w:t>E. 5.1.2</w:t>
      </w:r>
    </w:p>
    <w:p>
      <w:r>
        <w:t>Der Grundsatz von Treu und Glauben schützt den Bürger und die Bürgerin in ihrem berechtigten Vertrauen auf behördliches Verhalten und bedeutet unter anderem, dass falsche Auskünfte von Verwaltungsbehörden unter bestimmten Voraussetzungen eine vom materiellen Recht abweichende Behandlung der Rechtsuchenden gebieten. Diese Grundsätze gelten umso mehr, wenn die Behörde nicht nur eine Auskunft erteilt, sondern Anordnungen getroffen hat; denn mit dem Erlass einer konkreten Verfügung wird in der Regel eine noch viel eindeutigere Vertrauensbasis geschaffen als mit einer blossen Auskunft (Urteil des Bundesgerichts C 27/01 vom 7. Mai 2001 E. 3 mit Hinweisen auf Lehre und Rechtsprechung). Aus den Akten lassen sich keine Hinweise entnehmen, dass das BLW der Beschwerdeführerin für das Jahr 2007 Zusicherungen hinsichtlich Weiterführung der Bewilligung als Besamungsstation gegeben hätte. Im Gegenteil wurde die Bewilligung in der Verfügung vom 31. Oktober 2006 bis 31. Dezember 2006 befristet. Auch informierte das BLW die Beschwerdeführerin mehrmals über die bevorstehende Änderung der Tierzuchtverordnung. So unter anderem im Schreiben vom 31. August 2006 (mit der Zustellung der Vernehmlassungsunterlagen), im Schreiben vom 7. September 2006, sowie im Kreisschreiben vom 20. November 2006. Es wurde darauf hingewiesen, dass die Bewilligungspflicht für die Durchführung der künstlichen Besamung Rindvieh per 1. Januar 2007 aufgehoben werde, und dass für die Gewinnung, Lagerung und Betrieb alsdann ausschliesslich die veterinärrechtlichen Bestimmungen des Tierseuchengesetzes gelten würden. Mit der Weitergabe dieser Informationen wurde die Beschwerdeführerin einerseits in Kenntnis gesetzt über die Voraussetzungen, welche ab dem 1. Januar 2007 für die Zuteilung von Zollkontingentsanteilen erfüllt sein mussten. Andererseits durfte die Beschwerdeführerin aufgrund dieser Mitteilungen nicht damit rechnen, dass sie für das Jahr 2007 vom BLW Zollkontingentsanteile für die Einfuhr von Stiersamen erhalten würde, ohne sämtliche rechtlichen Voraussetzungen nach neuem Recht zu erfüllen. Es wäre somit an der Beschwerdeführerin gelegen, rechtzeitig geeignete Massnahmen rechtlicher oder betriebsorganisatorischer Art zu ergreifen, um berechtigt zu sein, Stiersamen zum Zollkontingentsansatz zu importieren.</w:t>
      </w:r>
    </w:p>
    <w:p>
      <w:r>
        <w:rPr>
          <w:b/>
        </w:rPr>
        <w:t>E. 5.1.3</w:t>
      </w:r>
    </w:p>
    <w:p>
      <w:r>
        <w:t>Fehlt somit eine Voraussetzung für die Zuteilung von Zollkontingentsanteilen für Stiersamen, nämlich das Vorliegen einer im Inland produzierenden Besamungsstation, ist die Beschwerde abzuweisen und die Verfügung der Vorinstanz zu bestätigen. Somit könnte grundsätzlich offen gelassen werden, ob der in Tschechien von Stieren schweizerischer Herkunft produzierte Samen als im Sinne von Art. 25 Abs. 4 der Tierzuchtverordnung von "inländischen Stieren produziert" qualifiziert werden kann. Immerhin kann diesbezüglich auch auf den Entscheid des Bundesverwaltungsgerichts vom 28. September 2007 (B-1964/2007 E. 5.1) verwiesen werden, worin davon ausgegangen wird, dass als Inlandproduktion nur der in der Schweiz produzierter Samen angesehen werden kann. Es verbleibt anzumerken, dass es der Beschwerdeführerin nicht verwehrt ist, Stiersamen zum Ausserkontingentszollansatz einzuführen.</w:t>
      </w:r>
    </w:p>
    <w:p>
      <w:r>
        <w:rPr>
          <w:b/>
        </w:rPr>
        <w:t>E. 6</w:t>
      </w:r>
    </w:p>
    <w:p>
      <w:r>
        <w:t>Bei diesem Verfahrensausgang unterliegt die Beschwerdeführerin, weshalb ihr die Verfahrenskosten aufzuerlegen sind (Art. 63 Abs. 1 VwVG). Diese setzen sich zusammen aus der Gerichtsgebühr sowie den Auslagen (Art. 63 Abs. 5 VwVG i.V.m. Art. 1 Abs. 1 des Reglements vom 11. Dezember 2006 über die Kosten und Entschädigungen vor dem Bundesverwaltungsgericht, VGKE, SR 173.320.2). Auslagen sind keine angefallen. Die Gerichtsgebühr von Total Fr. 3'000.-- (Fr. 2'500.- für den Entscheid in der Hauptsache und Fr. 500.- für die Zwischenverfügung vom 19. April 2007 betreffend vorsorgliche Massnahme) ist mit dem am 4. April 2007 geleisteten Kostenvorschuss in der Höhe von Fr. 2'500.-- zu verrechnen. Der unterliegenden Beschwerdeführerin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