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B-1845/2015 vom 7. März 2016</w:t>
      </w:r>
    </w:p>
    <w:p>
      <w:r>
        <w:t>Bundesverwaltungsgericht, 2016-03-07, FR</w:t>
      </w:r>
    </w:p>
    <w:p>
      <w:r>
        <w:rPr>
          <w:b/>
        </w:rPr>
        <w:t xml:space="preserve">Quelle: </w:t>
      </w:r>
      <w:r>
        <w:t>https://mcp.opencaselaw.ch/entscheid/bvger_B-1845_2015</w:t>
      </w:r>
    </w:p>
    <w:p>
      <w:r>
        <w:t>FR: TAF B-1845/2015 du 7 mars 2016</w:t>
      </w:r>
    </w:p>
    <w:p>
      <w:r>
        <w:t>IT: TAF B-1845/2015 del 7 marzo 2016</w:t>
      </w:r>
    </w:p>
    <w:p>
      <w:pPr>
        <w:pStyle w:val="Heading2"/>
      </w:pPr>
      <w:r>
        <w:t>Regeste</w:t>
      </w:r>
    </w:p>
    <w:p>
      <w:r>
        <w:t>Examen professionnel supérieur</w:t>
      </w:r>
    </w:p>
    <w:p>
      <w:pPr>
        <w:pStyle w:val="Heading2"/>
      </w:pPr>
      <w:r>
        <w:t>Erwägungen</w:t>
      </w:r>
    </w:p>
    <w:p>
      <w:r>
        <w:rPr>
          <w:b/>
        </w:rPr>
        <w:t>E. 1.1</w:t>
      </w:r>
    </w:p>
    <w:p>
      <w:r>
        <w:t>Le Tribunal administratif fédéral est compétent pour statuer sur le présent recours (cf. art. 31, 32 et 33 let. d LTAF et art. 5 al. 2 PA).</w:t>
      </w:r>
    </w:p>
    <w:p>
      <w:r>
        <w:rPr>
          <w:b/>
        </w:rPr>
        <w:t>E. 1.2</w:t>
      </w:r>
    </w:p>
    <w:p>
      <w:r>
        <w:t>La qualité pour recourir doit être reconnue au recourant (cf. art. 48 al. 1 PA). Les dispositions relatives à la représentation, au délai de recours, à la forme et au contenu du mémoire de recours, ainsi qu'à l'avance de frais (cf. art. 11 al. 1, 50 al. 1, 52 al. 1 et 63 al. 4 PA) sont en outre respectées. Le recours est ainsi recevable.</w:t>
      </w:r>
    </w:p>
    <w:p>
      <w:r>
        <w:rPr>
          <w:b/>
        </w:rPr>
        <w:t>E. 2</w:t>
      </w:r>
    </w:p>
    <w:p>
      <w:r>
        <w:t>Le Tribunal administratif fédéral applique le droit d'office, sans être lié par les motifs invoqués (cf. art. 62 al. 4 PA), ni par l'argumentation juridique développée dans la décision attaquée. La procédure est régie par la maxime inquisitoire, ce qui signifie que le tribunal définit les faits et apprécie les preuves d'office et librement (cf. art. 12 PA). Les parties doivent toutefois collaborer à l'établissement des faits (cf. art. 13 PA) et motiver leur recours (cf. art. 52 PA). En conséquence, l'autorité saisie se limite en principe aux griefs soulevés et n'examine les questions de droit non invoquées que dans la mesure où les arguments des parties ou le dossier l'y incitent (cf. ATF 122 V 157 consid. 1a, 121 V 204 consid. 6c ATAF 2007/27, 319 consid. 3.3 ; arrêt du TAF B-987/2014 du 8 août 2014 consid. 2). En l'espèce, le recourant ne remet en cause la décision querellée que dans la mesure où il a été jugé que le DEA que lui a délivré l'Université de Genève ne donnait pas droit à l'inscription au registre REG A, à savoir une question de droit que le Tribunal administratif fédéral examine avec une pleine cognition (cf. ATF 106 Ia 1/JdT 1982 I 227 consid. 3c ; ATAF 2008/14 consid. 3.3, 2007/6 consid. 3 et réf. cit.). Dans ses écritures, il ne s'en prend en revanche plus à l'évaluation de son dossier par la première instance et sur la manière dont il a été procédé à celle-là ; il n'y a dès lors pas lieu d'y revenir.</w:t>
      </w:r>
    </w:p>
    <w:p>
      <w:r>
        <w:rPr>
          <w:b/>
        </w:rPr>
        <w:t>E. 3</w:t>
      </w:r>
    </w:p>
    <w:p>
      <w:r>
        <w:t>Pour juger des mérites du recours, il convient d'appliquer le droit en vigueur au moment où la première instance a rendu sa décision, à savoir au 6 novembre 2013. En effet, selon la jurisprudence du Tribunal fédéral, lorsqu'une personne requiert de l'Etat une autorisation ou un avantage, le droit déterminant est celui en vigueur au moment où l'autorité a statué en première instance ; ce principe vaut également si la situation juridique avait été créée par un fait antérieur au changement législatif (cf. arrêt du TF 2C_736/2010 du 23 février 2012 consid. 5 et réf. cit.).</w:t>
      </w:r>
    </w:p>
    <w:p>
      <w:r>
        <w:rPr>
          <w:b/>
        </w:rPr>
        <w:t>E. 4</w:t>
      </w:r>
    </w:p>
    <w:p>
      <w:r>
        <w:t>En vertu de l'art. 33 de la loi fédérale sur la formation professionnelle du 13 décembre 2002 (LFPr, RS 412.10), les qualifications professionnelles sont attestées par un examen global, par une combinaison d'examens partiels ou par d'autres procédures de qualification reconnue par le SEFRI. L'art. 67 LFPr prévoit en outre que la Confédération et les cantons peuvent confier les tâches de la présente loi aux organisations du monde du travail. Se fondant sur l'art. 50 al. 3 de l'ancienne loi fédérale sur la formation professionnelle du 19 avril 1978 (aLFPr, RO 1979 1687) - lequel prévoyait que la Confédération pouvait reconnaître des institutions contribuant à la promotion professionnelle par d'autres moyens que la scolarité ou les examens et pouvait leur confier certaines tâches - le Département fédéral de l'économie (DFE, désormais DEFR) a conclu, le 24 mars 1983, un contrat avec la Fondation du registre suisse des ingénieurs, des architectes et des techniciens (ci-après : contrat de reconnaissance, FF 1983 238). En particulier, ledit contrat reconnaît la fondation en tant qu'institution encourageant la formation professionnelle (art. 1) et lui impose certains engagements (art. 2). Sur la base notamment dudit contrat, la Fondation REG a édicté les statuts du 5 juin 2008, approuvés le 10 décembre 2008 par le DFE (ci-après : les statuts), le règlement B1 régissant l'inscription dans les registres du 5 juin 2008, approuvé le 10 décembre 2008 par le DFE (ci-après : le règlement B1) et le règlement d'examen B2 du 5 juin 2008, approuvé le 10 décembre 2008 par le DFE (ci-après : le règlement B2). Depuis le 1er janvier 2015, de nouveaux statuts et règlements sont entrés en vigueur ; ils ne sont toutefois pas applicables en l'espèce (consid. 3). Aussi, lorsqu'il sera renvoyé aux règlements et aux statuts, il est fait référence aux règlements et statuts du 10 décembre 2008 en vigueur au 6 novembre 2013. En vertu de l'art. 7 du règlement B1, sont en principe inscrits dans le registre REG A, les praticiens avec une expérience pratique de la profession et qui sont titulaires d'un diplôme de master reconnu. Sont considérés comme équivalents à un diplôme de master reconnu les licences ou diplômes dont le titulaire est autorisé à porter, en lieu et place, le titre de master. Cette formation leur donne les connaissances approfondies dans le domaine des sciences techniques et humaines, des principes de base de la technique ou de l'art de bâtir et une culture générale étendue. Une pratique de trois ans après l'achèvement des études est en outre requise (art. 8 du règlement B1). Selon l'art. 2 des statuts, sont reconnus les diplômes délivrés par les Ecoles Polytechniques Fédérales (EPF), les Universités suisses, ainsi que ceux agréés par la Fondation REG. Selon les art. 16 et 17 du règlement B2, il existe une procédure spéciale d'examen sur dossier en vue de l'inscription au registre REG A, notamment pour les professionnels détenteurs d'un diplôme étranger ne bénéficiant pas d'un accord de reconnaissance avec la Suisse.</w:t>
      </w:r>
    </w:p>
    <w:p>
      <w:r>
        <w:rPr>
          <w:b/>
        </w:rPr>
        <w:t>E. 5</w:t>
      </w:r>
    </w:p>
    <w:p>
      <w:r>
        <w:t>Le recourant prétend tout d'abord que le DEA que lui a délivré l'Université de Genève constitue un diplôme donnant droit à l'inscription au registre REG A. Les instances précédentes sont d'avis qu'il s'agit d'une formation complémentaire - ne s'adressant pas exclusivement aux titulaires d'un diplôme d'architecte - nullement équivalente au suivi d'un cursus complet en architecture dans une université suisse.</w:t>
      </w:r>
    </w:p>
    <w:p>
      <w:r>
        <w:rPr>
          <w:b/>
        </w:rPr>
        <w:t>E. 5.1</w:t>
      </w:r>
    </w:p>
    <w:p>
      <w:r>
        <w:t>Selon l'art. 7 du règlement B1, les praticiens avec une expérience pratique de la profession et titulaires d'un diplôme de master reconnu sont en principe inscrits dans le registre REG A. Sont considérés comme équivalents à un diplôme de master reconnu les licences ou diplômes dont le titulaire est autorisé à porter, en lieu et place, le titre de master.</w:t>
      </w:r>
    </w:p>
    <w:p>
      <w:r>
        <w:rPr>
          <w:b/>
        </w:rPr>
        <w:t>E. 5.2</w:t>
      </w:r>
    </w:p>
    <w:p>
      <w:r>
        <w:t>En l'occurrence, il faut déterminer si le DEA détenu pas le recourant - lequel est équivalent au titre de maîtrise d'étude avancée (MAS) - correspond à un diplôme de master reconnu au sens de l'art. 7 du règlement B1. Il a lieu de préciser à ce stade que la formation en cause consiste en une formation postgrade, ce qui n'est d'ailleurs nullement contesté.</w:t>
      </w:r>
    </w:p>
    <w:p>
      <w:r>
        <w:rPr>
          <w:b/>
        </w:rPr>
        <w:t>E. 5.3</w:t>
      </w:r>
    </w:p>
    <w:p>
      <w:r>
        <w:t>Une norme s'interprète en premier lieu selon sa lettre (interprétation littérale). Si le texte n'est pas absolument clair, si plusieurs interprétations sont possibles, il s'impose de rechercher la véritable portée de la norme, en la dégageant de sa relation avec d'autres dispositions légales (interprétation systématique), de son contexte, du but poursuivi, de son esprit (interprétation téléologique) ainsi que de la volonté du législateur (interprétation historique), telle qu'elle résulte notamment des travaux préparatoires (cf. notamment arrêt du TF 2C_98/2013 du 29 juillet 2013 consid. 6.1 et réf. cit.). Aucune méthode d'interprétation n'est privilégiée, il convient de s'inspirer d'un pluralisme pragmatique pour rechercher le sens véritable de la norme ; en particulier, le tribunal ne se fonde sur la compréhension littérale du texte que s'il en découle sans ambiguïté une solution matériellement juste (cf. ATF 138 IV 65 consid. 4.3.1, 137 IV 249 consid. 3.2, 135 V 249 consid. 4.1 et réf. cit. ; arrêts du TAF B-6755/2013 du 11 août 2014 consid. 5.1 et A 469/2013 du 27 septembre 2013 consid. 5).</w:t>
      </w:r>
    </w:p>
    <w:p>
      <w:r>
        <w:rPr>
          <w:b/>
        </w:rPr>
        <w:t>E. 5.3.1</w:t>
      </w:r>
    </w:p>
    <w:p>
      <w:r>
        <w:t>Les universités suisses (cf. art. 1 al. 1 des Directives du 4 décembre 2003 de la Conférence universitaire suisse pour le renouvellement coordonné de l'enseignement des hautes écoles universitaires suisses dans le cadre du processus de Bologne, RS 414.205.1]) et les HES (cf. art. 4 al. 1 de la loi fédérale du 6 octobre 1995 sur les hautes écoles spécialisées [LHES, RS 414.71]) ont repris le système mis en place par la Déclaration de Bologne du 19 juin 1999 qui comprend deux cycles : le premier au terme duquel est délivré le bachelor et le second qui se conclut avec le master. Ces deux cycles ont remplacé la licence (cf. art. 1 al. 2 des Directives de Bologne). Toutefois, des masters ou maîtrises sont également délivrés au terme d'une formation postgrade. L'art. 7 du règlement B1 n'est dès lors pas univoque, un master pouvant désigner le titre octroyé au terme du deuxième cycle des études de base mais également celui octroyé au terme des études postgrades. Ce défaut de clarté n'est pas sans conséquence puisque les personnes qui ne détiennent ni un bachelor ni un master de base d'une haute école peuvent parfois être admises aux études postgrades, notamment si elles fournissent d'une autre manière la preuve de leur aptitude à suivre ces dernières (cf. ancien art. 3 al. 2 de Ordonnance du DFE du 2 septembre 2005 concernant les filières d'études, les études postgrades et les titres dans les hautes écoles spécialisées [Ordonnance HES, RO 2005 4659]). On peut donc être détenteur d'un master postgrade sans avoir un bachelor ou un master de base (cf. arrêt du TF 2C_731/2010 du 16 novembre 2011 consid. 2.1). C'est notamment le cas pour la formation suivie par le recourant comme il ressort de la présentation de la formation postgrade transmise en annexe au recours (cf. présentation de la formation postgrade, annexe 4 du recours). Toutefois, l'art. 7 du règlement B1 ne se contente pas d'énoncer le titre de master ; il le définit. En effet, en précisant que sont considérés comme équivalents au master reconnu les licences ou diplômes dont le titulaire est autorisé à porter, en lieu et place, le titre de master, il désigne précisément le type de diplôme attendu, à savoir celui sanctionnant deux cycles d'enseignement des hautes écoles universitaires et HES. Il s'ensuit que l'interprétation littérale de la disposition en cause permet de déduire que seuls les masters de deuxième cycle sont reconnus à l'exclusion des masters délivrés à la suite d'une formation postgrade.</w:t>
      </w:r>
    </w:p>
    <w:p>
      <w:r>
        <w:rPr>
          <w:b/>
        </w:rPr>
        <w:t>E. 5.3.2</w:t>
      </w:r>
    </w:p>
    <w:p>
      <w:r>
        <w:t>Cette interprétation est en outre confortée par l'objectif du registre REG A. Celui-ci est, notamment, destiné à attester que la personne inscrite possède la qualification correspondant au diplôme délivré par l'école en question (cf. art. 2 let. d du contrat de reconnaissance), à savoir les masters délivrés par les Ecoles Polytechniques Fédérales (EPF), les universités suisses, ainsi que ceux agréés par la Fondation REG (art. 2 des statuts). Les personnes figurant au registre REG A jouissent ainsi d'une formation leur donnant les connaissances approfondies dans le domaine des sciences techniques et humaines, des principes de base de la technique ou de l'art de bâtir et une culture générale étendue (cf. art. 7 du règlement B1). Si l'on devait considérer un master ou une maîtrise sanctionnant une formation postgrade accessible à des personnes n'ayant pas achevé une formation de deuxième cycle dans le domaine de l'architecture, le but-même du registre ne pourrait être atteint.</w:t>
      </w:r>
    </w:p>
    <w:p>
      <w:r>
        <w:rPr>
          <w:b/>
        </w:rPr>
        <w:t>E. 5.3.3</w:t>
      </w:r>
    </w:p>
    <w:p>
      <w:r>
        <w:t>Il s'ensuit que l'art. 7 du règlement B1 doit être interprété en ce sens que seuls les masters de deuxième cycle délivrés par les Ecoles Polytechniques Fédérales (EPF), les universités suisses, ainsi que ceux agréés par la Fondation REG sont reconnus.</w:t>
      </w:r>
    </w:p>
    <w:p>
      <w:r>
        <w:rPr>
          <w:b/>
        </w:rPr>
        <w:t>E. 5.4</w:t>
      </w:r>
    </w:p>
    <w:p>
      <w:r>
        <w:t>A l'aune de l'interprétation retenue, force est d'admettre que le DEA dont se prévaut le recourant ne constitue pas un diplôme reconnu au sens de l'art. 7 du règlement B1.</w:t>
      </w:r>
    </w:p>
    <w:p>
      <w:r>
        <w:rPr>
          <w:b/>
        </w:rPr>
        <w:t>E. 5.5</w:t>
      </w:r>
    </w:p>
    <w:p>
      <w:r>
        <w:t>Pour le surplus, le fait que le DEA n'est pas accessible aux non-détenteurs d'un titre universitaire ou polytechnique n'est pas déterminant dès lors que l'obtention du diplôme en cause est ouverte aux personnes disposant d'un titre universitaire dans une matière autre que l'architecture, en particulier aux historiens, archéologues, économistes, etc. (cf. présentation de la formation postgrade, annexe 4 du recours). Aussi, la détention du titre n'est, en soi, pas à même d'attester une formation complète en architecture. Par ailleurs, lorsque le recourant prétend que, pour être admis au cycle postgrade, son diplôme a préalablement dû être reconnu comme équivalent à un diplôme d'études supérieures en architecture, il perd de vue qu'il y a lieu de clairement distinguer la reconnaissance à des fins professionnelles de la reconnaissance à des fins académiques. La première a pour but l'exercice d'une profession dont l'accès est subordonné à une qualification tandis que la seconde vise la poursuite des études, partant la mobilité des étudiants et non des professionnels même si elle contribue à la favoriser (cf. arrêt du TF 2A.331/2002 du 24 janvier 2003 consid. 4). Un accord portant sur la reconnaissance académique des prestations d'études et des diplômes des hautes écoles ne s'applique notamment pas dans le cadre de la reconnaissance professionnelle (cf. arrêt du TAF B-4875/2009 du 14 janvier 2010 consid. 2.3.3). Aussi, la reconnaissance intervenue, en l'espèce, à des fins académiques ne saurait s'imposer à la première instance, ce d'autant plus qu'une procédure bien distincte a été définie pour le titulaire d'un diplôme étranger ne bénéficiant pas d'un accord de reconnaissance avec la Suisse. En effet, les art. 16 et 17 du règlement B2 prévoient une procédure d'examen spéciale dans de tels cas.</w:t>
      </w:r>
    </w:p>
    <w:p>
      <w:r>
        <w:rPr>
          <w:b/>
        </w:rPr>
        <w:t>E. 5.6</w:t>
      </w:r>
    </w:p>
    <w:p>
      <w:r>
        <w:t>Sur le vu de l'ensemble de ce qui précède, il y a lieu de constater que le recourant ne satisfait pas aux conditions donnant droit à une inscription dans le registre REG A, étant précisé que l'évaluation du dossier lors de la procédure spéciale d'examen n'est plus contestée (cf. consid. 2). Mal fondé, le recours doit donc être rejeté sur ce point.</w:t>
      </w:r>
    </w:p>
    <w:p>
      <w:r>
        <w:rPr>
          <w:b/>
        </w:rPr>
        <w:t>E. 6</w:t>
      </w:r>
    </w:p>
    <w:p>
      <w:r>
        <w:t>Le recourant se prévaut encore de son inscription dans le CAMAC vaudois en lien avec la loi fédérale du 6 octobre 1995 sur le marché intérieur (LMI, RS 943.02). En l'occurrence, le registre REG A consiste en un registre valant pour l'ensemble du territoire suisse ; la procédure d'inscription ne saurait dès lors dans son principe contrevenir à un accès libre et non discriminatoire sur tout le marché suisse (art. 1 LMI). De plus, le législateur fédéral a prévu que les questions relatives à la qualification des architectes relevaient de la compétence de la Fondation REG ; en particulier celle-ci tient un registre des architectes et établit les conditions auxquelles sont subordonnées les inscriptions, y compris la reconnaissance éventuelle de diplômes étrangers (cf. consid. 3). Or, il ressort de l'art. 107 de la loi cantonale vaudoise sur l'aménagement du territoire et les constructions du 4 décembre 1985 (LATC, RSVD 700.11) que les conditions d'inscription ne sont pas identiques à celles de la Fondation REG ; en particulier, le département cantonal est habilité à juger de l'éventuelle équivalence d'une formation avec des diplômes des hautes écoles suisses. Il s'ensuit que l'inscription du recourant dans le registre cantonal vaudois ne saurait avoir pour conséquence son admission automatique au registre REG A, faute de quoi la Fondation REG serait privée de la compétence confiée en vertu du droit fédéral, notamment en matière de reconnaissance de diplôme étranger. Il s'ensuit que le recours est également mal fondé sur ce point.</w:t>
      </w:r>
    </w:p>
    <w:p>
      <w:r>
        <w:rPr>
          <w:b/>
        </w:rPr>
        <w:t>E. 7</w:t>
      </w:r>
    </w:p>
    <w:p>
      <w:r>
        <w:t>Enfin, le recourant fait valoir que le rejet de sa demande d'inscription constitue une violation de la liberté économique (cf. art. 27 Cst.) et de l'interdiction de l'arbitraire (art. 9 Cst.).</w:t>
      </w:r>
    </w:p>
    <w:p>
      <w:r>
        <w:rPr>
          <w:b/>
        </w:rPr>
        <w:t>E. 7.1</w:t>
      </w:r>
    </w:p>
    <w:p>
      <w:r>
        <w:t>La liberté économique individuelle garantie par l'art. 27 al. 1 Cst. comprend notamment le libre choix de la profession, le libre accès à une activité économique lucrative privée et son libre exercice (cf. art. 27 al. 2 Cst.). Cette liberté protège toute activité économique privée, exercée à titre professionnel et tendant à la production d'un gain ou d'un revenu (cf. ATF 132 I 97 consid. 2.1 et 128 I 19 consid. 4c/aa). La garantie de la liberté économique ne revêt cependant pas un caractère absolu, la Confédération et les cantons peuvent y apporter des dérogations ainsi que des restrictions. Les mesures de police ou de politique sociale, en principe conformes à la liberté économique, doivent tendre à sauvegarder la tranquillité, la sécurité, la santé et la moralité publiques, à préserver d'un danger ou à l'écarter, ou encore à prévenir les atteintes à la bonne foi en affaires par des procédés déloyaux et propres à tromper le public (cf. ATF 125 I 335 consid. 2a). Des restrictions de police au droit d'exercer librement une activité économique peuvent être apportées en vertu de l'art. 95 al. 1 Cst., qui habilite la Confédération à légiférer sur l'exercice des activités lucratives privées. De telles restrictions doivent reposer sur une base légale, être justifiées par un intérêt public prépondérant et, selon le principe de la proportionnalité, se limiter à ce qui est nécessaire à la réalisation des buts d'intérêt public poursuivis (cf. art. 36 Cst. ; cf. ATF 123 I 212 consid. 3a ; cf. arrêt du TAF A-5837/2008 du 3 avril 2009 consid. 4.2.1). Une décision ne peut être qualifiée d'arbitraire (art. 9 Cst.) que si 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(cf. ATF 138 I 49 consid. 7.1, 137 I 1 consid. 2.4, 136 I 316 consid. 2.2.2, 134 II 124 consid. 4.1).</w:t>
      </w:r>
    </w:p>
    <w:p>
      <w:r>
        <w:rPr>
          <w:b/>
        </w:rPr>
        <w:t>E. 7.2</w:t>
      </w:r>
    </w:p>
    <w:p>
      <w:r>
        <w:t>Les griefs du recourant ne sauraient prospérer. L'art. 67 LFPr est tout d'abord une base légale suffisante pour restreindre la liberté économique. De plus, les qualifications du recourant ne sont pas en tant que telles déniées du fait que son DEA n'est pas considéré comme un diplôme reconnu pour l'inscription au registre REG A. Il lui appartient en effet de se soumettre à la procédure spéciale d'examen, ce qui, eu égard au but visé par le registre REG A (cf. consid. 3) qui est d'intérêt public, respecte le principe de la proportionnalité. Finalement, on ne saisit pas en quoi la décision entreprise serait arbitraire ; le sort du grief est scellé par les considérants qui précèdent.</w:t>
      </w:r>
    </w:p>
    <w:p>
      <w:r>
        <w:rPr>
          <w:b/>
        </w:rPr>
        <w:t>E. 8</w:t>
      </w:r>
    </w:p>
    <w:p>
      <w:r>
        <w:t>En définitive, il y a lieu d'admettre que la décision attaquée ne viole pas le droit fédéral et ne traduit pas un excès ou un abus du pouvoir d'appréciation. Elle ne relève pas non plus d'une constatation incomplète ou inexacte des faits et n'est pas inopportune (cf. art. 49 PA). Mal fondé, le recours doit dès lors être rejeté.</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1'000 francs et mis à la charge du recourant débouté. Ils sont compensés par l'avance de frais, du même montant, versée par le recourant le 1er avril 2015.</w:t>
      </w:r>
    </w:p>
    <w:p>
      <w:r>
        <w:rPr>
          <w:b/>
        </w:rPr>
        <w:t>E. 10.1</w:t>
      </w:r>
    </w:p>
    <w:p>
      <w:r>
        <w:t>L'autorité de recours peut allouer, d'office ou sur requête, à la partie ayant entièrement obtenu gain de cause une indemnité pour les frais indispensables et relativement élevés qui lui ont été occasionnés (cf. art. 64 al. 1 PA). Les autorités fédérales et, en règle générale, les autres autorités parties n'ont pas droit à des dépens (art. 7 al. 3 FITAF).</w:t>
      </w:r>
    </w:p>
    <w:p>
      <w:r>
        <w:rPr>
          <w:b/>
        </w:rPr>
        <w:t>E. 10.2</w:t>
      </w:r>
    </w:p>
    <w:p>
      <w:r>
        <w:t>Bien qu'ayant obtenu gain de cause et étant représentée par un avocat, la première instance n'a pas droit à des dépens dès lors qu'elle est intervenue dans l'exercice d'une tâche de droit public (cf. art. 7 al. 3 FITAF ; cf. également art. 68 al. 3 de la loi du 17 juin 2005 sur le Tribunal fédéral [LTF, RS 173.110]).</w:t>
      </w:r>
    </w:p>
    <w:p>
      <w:r>
        <w:rPr>
          <w:b/>
        </w:rPr>
        <w:t>E. 10.3</w:t>
      </w:r>
    </w:p>
    <w:p>
      <w:r>
        <w:t>Vu l'issue de la procédure, le recourant n'a pas droit à des dépens (cf.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