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B-1700/2009 vom 11. November 2009</w:t>
      </w:r>
    </w:p>
    <w:p>
      <w:r>
        <w:t>Bundesverwaltungsgericht, 2009-11-11, FR</w:t>
      </w:r>
    </w:p>
    <w:p>
      <w:r>
        <w:rPr>
          <w:b/>
        </w:rPr>
        <w:t xml:space="preserve">Quelle: </w:t>
      </w:r>
      <w:r>
        <w:t>https://mcp.opencaselaw.ch/entscheid/bvger_B-1700_2009</w:t>
      </w:r>
    </w:p>
    <w:p>
      <w:r>
        <w:t>FR: TAF B-1700/2009 du 11 novembre 2009</w:t>
      </w:r>
    </w:p>
    <w:p>
      <w:r>
        <w:t>IT: TAF B-1700/2009 del 11 novembre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prises par les autorités mentionnées à l'art. 33 LTAF. Demeurent réservées les exceptions prévues à l'art. 32 LTAF. L'acte attaqué est une décision au sens de l'art. 5 al. 2 PA. Il émane d'une autorité au sens de l'art. 33 let. e LTAF. Aucune des clauses d'exceptions prévues à l'art. 32 LTAF n'est par ailleurs réalisée. Le Tribunal administratif fédéral est donc compétent pour connaître du présent recours.</w:t>
      </w:r>
    </w:p>
    <w:p>
      <w:r>
        <w:rPr>
          <w:b/>
        </w:rPr>
        <w:t>E. 1.2</w:t>
      </w:r>
    </w:p>
    <w:p>
      <w:r>
        <w:t>Aux termes de l'art. 48 al. 1 PA, a qualité pour recourir quiconque a pris part à la procédure devant l'autorité inférieure ou a été privé de la possibilité de le faire (let. a) ; quiconque est spécialement atteint par la décision querellée (let. b) ; et quiconque a un intérêt digne de protection à son annulation ou à sa modification (let. c). Le fait que la recourante n'ait pas réagi dans le cadre de la procédure d'opposition ne signifie pas qu'elle n'a pas pris part à la procédure devant l'autorité inférieure. En effet, selon la doctrine et la jurisprudence, cette condition est remplie dès lors que le recourant est destinataire de la décision attaquée (arrêt du Tribunal administratif fédéral B-7435/2006 du 30 mai 2007 consid. 1.2 ; Vera Marantelli-Sonanini/Said Huber, in : Bernhard Waldmann/Philippe Weissenberger, Praxiskommentar VwVG, Zurich 2009, n. 22 ad art. 48 ; Heribert Rausch, Öffentliches Prozessrecht auf der Basis der Justizreform : Vorlesungsskriptum und Illustrationen in Form von Zeitungsartikeln sowie amtlichen Dokumenten, Zurich 2006, p. 18 ; Ulrich Häfelin/Georg Müller/Felix Uhlmann, Allgemeines Verwaltungsrecht, 5e éd., Zurich/Bâle/Genève 2006, n. marg. 1771a). Force est pour le reste de constater que la recourante est spécialement atteinte par la décision attaquée et a un intérêt digne de protection à son annulation ou à sa modification.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 En l'espèce, l'autorité inférieure a admis l'opposition formée par l'intimée. Elle a en effet reconnu qu'il existait un risque de confusion direct entre les marques opposées dans la mesure où elles coïncidaient sur le suffixe "coccinum". L'Institut fédéral n'a en outre pas exclu que, même si le consommateur était apte à distinguer des divergences entre les marques opposées, la marque attaquée pouvait facilement être assimilée à une variante de la marque opposante ou à une marque de série. La recourante conclut à l'annulation de la décision attaquée et au rejet de l'opposition. Elle fait valoir, d'une part, qu'il n'existe aucun risque de confusion entre les marques opposées. D'autre part, elle allègue, dans sa réplique du 29 juin 2009, qu'elle est titulaire et ayant droit de marques similaires à la marque attaquée. L'une de ces marques étant antérieure à la marque opposante, elle en déduit qu'elle dispose d'un intérêt digne de protection à l'enregistrement de la marque attaquée.</w:t>
      </w:r>
    </w:p>
    <w:p>
      <w:r>
        <w:rPr>
          <w:b/>
        </w:rPr>
        <w:t>E. 2.1</w:t>
      </w:r>
    </w:p>
    <w:p>
      <w:r>
        <w:t>Selon la doctrine et la jurisprudence, la procédure d'opposition n'a pour seul objet que l'examen des motifs relatifs d'exclusion prévus à l'art. 3 al. 1 LPM (Ivan Cherpillod, Le droit suisse des marques, Lausanne 2007, p. 149 ; Eugen Marbach, in : Roland von Büren/Lucas David [Hrsg.], Schweizerisches Immaterialgüter- und Wettbewerbsrecht, Bd. III/1, Markenrecht, 2ème éd., Bâle 2009, n. marg. 1159 ; Christoph Willi, in : Markenschutzgesetz, Kommentar zum schweizerischen Markenrecht unter Berücksichtigung des europäischen und internationalen Markenrechts, Zurich 2002, art. 31 n. marg. 15 ; Lucas David, in : Kommentar zum schweizerischen Privatrecht, Markenschutzgesetz/Muster- und Modellgesetz, Bâle 1999, MSchG art. 31 n. marg. 12 ; arrêt du Tribunal administratif fédéral B-7352/2008 du 17 juin 2009 consid. 3.2.2 et la réf. cit. Torres). Pour motiver son opposition, l'opposant ne peut donc invoquer que les motifs prévus à l'art. 3 LPM. Toutes les autres questions, notamment celles ayant trait aux motifs absolus d'exclusion, relèvent en revanche de la compétence du juge civil (arrêt du Tribunal administratif fédéral B-7489/2006 du 10 décembre 2008 consid. 7 Gruyère ; Marbach, op. cit., n. marg. 1159). Le titulaire de la marque attaquée est également limité dans ses moyens de défense. Il doit principalement nier l'existence de motifs relatifs qui excluraient la marque attaquée de la protection. Il peut également contester l'usage de la marque opposante (art. 32 LPM) (voir plus amplement sur les moyens de défense du titulaire de la marque attaquée : Marbach, op. cit., n. marg. 1161 ss). En revanche, le défendeur ne peut en aucun cas invoquer qu'il est titulaire d'une marque antérieure à la marque opposante (sic! 2003 341 consid. 2 Montega ; Marbach, op. cit., n. marg. 1164).</w:t>
      </w:r>
    </w:p>
    <w:p>
      <w:r>
        <w:rPr>
          <w:b/>
        </w:rPr>
        <w:t>E. 2.2</w:t>
      </w:r>
    </w:p>
    <w:p>
      <w:r>
        <w:t>Il résulte de ce qui précède que le Tribunal administratif fédéral ne peut pas tenir compte de l'allégation de la recourante selon laquelle elle est titulaire ou ayant droit d'une marque antérieure à la marque opposante qui serait similaire à celle attaquée.</w:t>
      </w:r>
    </w:p>
    <w:p>
      <w:r>
        <w:rPr>
          <w:b/>
        </w:rPr>
        <w:t>E. 3</w:t>
      </w:r>
    </w:p>
    <w:p>
      <w:r>
        <w:t>A teneur de l'art. 3 al. 1 LPM,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En l'espèce, la marque suisse opposante n° P-363'083 "OSCILLOCOCCINUM" a été déposée le 6 mai 1988. Elle est donc antérieure à la marque suisse attaquée n° 566'635 "Anticoccinum" déposée le 29 janvier 2008.</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w:t>
      </w:r>
    </w:p>
    <w:p>
      <w:r>
        <w:rPr>
          <w:b/>
        </w:rPr>
        <w:t>E. 4.1</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(David, op. cit., art. 3 n. marg. 8 et 35 ; arrêt du Tribunal administratif fédéral B-3268/2007 du 25 janvier 2008 consid. 3.1 MBR). En l'espèce, la marque opposante est protégée pour des produits pharmaceutiques (cl. 5). La recourante revendique la protection de la marque attaquée pour des médicaments homéopathiques (cl. 5). Force est de constater avec l'autorité inférieure que ces derniers sont compris dans les produits pharmaceutiques de la marque opposante. Il y a donc lieu d'admettre l'identité des produits, ce que la recourante ne conteste au demeurant pas.</w:t>
      </w:r>
    </w:p>
    <w:p>
      <w:r>
        <w:rPr>
          <w:b/>
        </w:rPr>
        <w:t>E. 4.2</w:t>
      </w:r>
    </w:p>
    <w:p>
      <w:r>
        <w:t>S'agissant du cercle de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 ; sic! 2002 163 consid. 6f Audi ; Cherpillod, op. cit., p. 110 ; Marbach, op. cit., n. marg. 995 ss). Les marques pharmaceutiques s'adressent au grand public, de sorte qu'il convient d'appliquer les critères habituels lors de l'examen du risque de confusion, nonobstant le fait que le public est plus attentif lors de l'achat d'un médicament que lors de l'achat d'un autre produit. Cependant, lorsqu'une marque est protégée pour un produit pharmaceutique spécifique qui ne peut être délivré que sur ordonnance médicale compte tenu de sa composition, l'existence d'un éventuel risque de confusion doit être appréciée en tenant compte de la perception de la marque par un spécialiste (arrêts du Tribunal administratif fédéral B-6770/2007 du 9 juin 2008 consid. 7.2 Nasacort et B-4070/2007 du 8 avril 2008 consid. 5.2 et 8 et les réf. Levane ; Marbach, op. cit., n. marg. 996). En l'espèce, les marques opposante et attaquée sont enregistrées respectivement pour des produits pharmaceutiques (cl. 5) et pour des médicaments homéopathiques (cl. 5). Il appert de la formulation figurant au registre que les marques opposées ne sont pas spécifiquement protégées pour des produits pharmaceutiques dont la prescription et la vente imposeraient l'attention particulière d'un spécialiste eu égard à leur composition. Il convient en conséquence de tenir compte de la perception des marques opposées par le grand public, soit par le consommateur moyen normalement informé et raisonnablement attentif et, partant, d'appliquer les critères habituels lors de l'examen du risque de confusion.</w:t>
      </w:r>
    </w:p>
    <w:p>
      <w:r>
        <w:rPr>
          <w:b/>
        </w:rPr>
        <w:t>E. 5</w:t>
      </w:r>
    </w:p>
    <w:p>
      <w:r>
        <w:t>L'appréciation du risque de confusion se fait sur la base des marques telles qu'elles sont inscrites au registre (sic! 2004 927 consid. 6 Ecofin). 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 cc Securitas).</w:t>
      </w:r>
    </w:p>
    <w:p>
      <w:r>
        <w:rPr>
          <w:b/>
        </w:rPr>
        <w:t>E. 6</w:t>
      </w:r>
    </w:p>
    <w:p>
      <w:r>
        <w:t>Le champ de protection d'une marque est défini par la force distinctive de celle-ci. Il est plus restreint pour les marques faibles que pour les marques fortes. Des différences plus modestes suffiront donc à créer une distinction suffisante. Sont faibles les marques dont les éléments essentiels sont banals ou dérivent de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B-1077/2008 du 3 mars 2009 consid. 6 Sky).</w:t>
      </w:r>
    </w:p>
    <w:p>
      <w:r>
        <w:rPr>
          <w:b/>
        </w:rPr>
        <w:t>E. 6.1</w:t>
      </w:r>
    </w:p>
    <w:p>
      <w:r>
        <w:t>Un signe est banal lorsqu'il est constitué par exemple de figures géométriques simples (carré, rectangle, triangle, cercle, point, cube, pyramide, sphère [David, op. cit., art. 2 n. marg. 45 ; sic! 2007 736 consid. 4 et les réf. cit. Karomuster farbig]), de lettres de l'alphabet (voir cependant : sic! 2006 475 consid. 9-11 X-Pressure), de chiffres, de couleurs de base, de signes de ponctuation ou de signes mathématiques. La combinaison de tels éléments dans un signe peut toutefois conférer à ce dernier un caractère distinctif (sic! 2004 853 consid. 4 Formes répétitives [3D] ; Cherpillod, op. cit., p. 72). Demeure toutefois réservée l'hypothèse où cette combinaison aurait un caractère descriptif. Sont descriptifs les signes qui représentent d'une façon ou d'une autre la marchandise concernée. On peut distinguer les désignations génériques, à savoir les indications désignant le genre de produit ou de service, et les désignations descriptives, à savoir les indications sur les caractéristiques des produits ou des services. Les indications relatives aux caractéristiques du produit ou du service sont descriptives, qu'elles portent, par exemple, sur son aspect, sa matière, sa composition, sa destination, sa fonction ou ses effets, le cercle de ses destinataires, sa provenance géographique, son lieu de vente, son prix, sa quantité ou encore sa qualité. Sont en outre descriptifs les indications portant sur une composante particulière du produit, les indications de nature publicitaire ou les slogans qui décrivent directement la qualité d'une marchandise ou d'un service (arrêt du Tribunal administratif fédéral B-7485/2006 du 4 février 2008 consid. 7.1 et les réf. Booster). Un élément de la marque n'exerce toutefois un effet descriptif que si cette acception se comprend facilement pour le consommateur moyen sans effort d'imagination (ATF 114 II 371 consid. 2 Alta tensione, ATF 108 II 216 consid. 2 Less). Des associations d'idées ou des allusions qui n'ont qu'un rapport éloigné avec le produit ou le service concerné ne sont donc pas suffisantes pour admettre qu'une désignation est descriptive. Pour juger si une combinaison de mots est descriptive, il convient de déterminer le sens de chaque élément et d'examiner ensuite si la combinaison de ces significations donne un sens logique pouvant être compris par les milieux intéressés comme une dénomination générique sans effort intellectuel ou imaginatif particulier (arrêt du Tribunal administratif fédéral B-1171/2008 du 3 juin 2008 consid. 8.1.3 Orthofix ; voir également en ce sens : arrêt B-6770/2007 du 9 juin 2008 consid. 8.1 et 8.2 Nasacort).</w:t>
      </w:r>
    </w:p>
    <w:p>
      <w:r>
        <w:rPr>
          <w:b/>
        </w:rPr>
        <w:t>E. 6.2</w:t>
      </w:r>
    </w:p>
    <w:p>
      <w:r>
        <w:t>In casu, la marque opposante - "OSCILLOCOCCINUM" - est formée de la juxtaposition des éléments "oscillo" et "coccinum". En latin, "oscillo" est une variation du mot "oscillum" qui signifie la cavité d'où part le germe, une oscille (figurine qu'on suspendait aux arbres en offrande à Saturne et à Bacchus) ou une balançoire (Félix Gaffiot, Dictionnaire Latin-Français, Paris 1934, p. 1095). "Coccinum" pour sa part est, en latin, la variation de "coccinus" qui signifie d'écarlate (Gaffiot, op. cit., p. 332). Il est vrai que l'utilisation du latin et, plus particulièrement comme nous le verrons ci-après, de mots se terminant par la syllabe "(n)um" n'est pas rare dans le domaine médical. Il n'en demeure pas moins qu'une simple association d'idées ou allusion aux médicaments ne permet pas d'admettre que la marque opposante est descriptive des produits de la classe 5. Bien au contraire, le latin est une langue morte, à tout le moins pour le consommateur moyen. Ce dernier n'est donc pas à même d'attribuer une signification précise à "oscillum" et à "coccinum", d'autant plus qu'ils ne sont pas en mesure d'évoquer d'autres mots habituellement utilisés dans le langage courant (voir en ce sens : sic! 2003 145 consid. 2 Altium). Par conséquent, la marque opposante a, pour le consommateur moyen, le caractère d'une dénomination de fantaisie. Quand bien même certains consommateurs ont les connaissances nécessaires pour saisir le sens précis des termes composants la marque opposante - il en va notamment des médecins, pharmaciens ou spécialistes des langues classiques -, il est manifeste que "oscillum" et "coccinus", à savoir une balançoire, une cavité d'où part un germe ou une figurine rituelle et écarlate, ne font référence ni à un genre de produit pharmaceutique, ni aux caractéristiques d'un tel produit. C'est dire que la marque opposante est imaginative et, partant, distinctive. Il sied enfin de relever dans ce contexte que, si les documents produits par l'intimée illustrent certes un usage commercial important de la marque opposante durant ces quatre dernières années, aucun élément du dossier ne permet toutefois d'admettre que dite marque est connue des consommateurs. Ainsi donc, la marque opposante ne bénéficie pas d'un champ de protection accru.</w:t>
      </w:r>
    </w:p>
    <w:p>
      <w:r>
        <w:rPr>
          <w:b/>
        </w:rPr>
        <w:t>E. 7</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ATF 122 III 382 Kamillosan).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art. 3 n. marg.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ATF 122 III 382 Kamillosan).</w:t>
      </w:r>
    </w:p>
    <w:p>
      <w:r>
        <w:rPr>
          <w:b/>
        </w:rPr>
        <w:t>E. 7.1</w:t>
      </w:r>
    </w:p>
    <w:p>
      <w:r>
        <w:t>En l'espèce, les marques opposées sont, d'une part, "OSCILLOCOCCINUM" (marque opposante) et, d'autre part, "Anticoccinum" (marque attaquée). La recourante prétend que les marques opposées ne sont pas similaires dès lors qu'elles se distinguent sur les plans visuel et phonétique. Il en irait ainsi en raison de préfixes différents et de la dominance de la lettre et du son "o" dans la marque opposante qui atténueraient l'importance du suffixe commun aux marques "coccinum". Tout risque de confusion devrait ainsi être nié. Dans l'acte attaqué, l'autorité inférieure a en bref considéré que les marques opposées étaient caractérisées par le suffixe "coccinum" qui dispose d'une champ de protection normal. Elle a dès lors admis l'existence d'un danger de confusion, qui ne serait pas atténué par la présence du préfixe "anti" dans la marque attaquée. Dite autorité a enfin estimé qu'il existait un risque de confusion indirect entre les signes opposés. L'intimée fait pour sa part valoir en bref que les marques opposées sont très proches du point de vue visuel et auditif et que le préfixe "anti" ne permet pas de distinguer la marque attaquée de la marque opposante.</w:t>
      </w:r>
    </w:p>
    <w:p>
      <w:r>
        <w:rPr>
          <w:b/>
        </w:rPr>
        <w:t>E. 7.2</w:t>
      </w:r>
    </w:p>
    <w:p>
      <w:r>
        <w:t>Il sied d'abord d'examiner si les marques opposées sont similaires sous les angles visuel et phonétique. Leur comparaison sous l'angle sémantique n'entre in casu pas en considération, dans la mesure où il est établi que le destinataire des produits en cause n'est pas à même de comprendre la signification des éléments constitutifs de la marque opposante (cf. consid. 6.2).</w:t>
      </w:r>
    </w:p>
    <w:p>
      <w:r>
        <w:rPr>
          <w:b/>
        </w:rPr>
        <w:t>E. 7.2.1</w:t>
      </w:r>
    </w:p>
    <w:p>
      <w:r>
        <w:t>Du point de vue visuel, la marque opposante consiste en un mot de quinze lettres. La marque attaquée est quant à elle composée de douze lettres. Elle reprend les huit dernières lettres de la marque opposante qui forment l'élément "coccinum". S'il y a lieu d'admettre que les marques opposées convergent sur leur fin, force est cependant de constater que le début des mots les formant est clairement distincts : "oscillo" pour la marque opposante et "anti" pour la marque attaquée. Dans la mesure où l'attention du consommateur se porte en particulier sur le début d'une marque verbale (arrêt du Tribunal administratif fédéral B-7468/2006 du 6 septembre 2007 consid. 6.1 Seven ; ATF 122 III 382 Kamillosan ; David, op. cit., art. 3 n. marg. 20), il y a lieu d'admettre que les marques opposées se différencient l'une de l'autre sous l'angle visuel, même si elles ont en commun l'élément "coccinum", lequel n'est au demeurant pas visuellement distinct.</w:t>
      </w:r>
    </w:p>
    <w:p>
      <w:r>
        <w:rPr>
          <w:b/>
        </w:rPr>
        <w:t>E. 7.2.2</w:t>
      </w:r>
    </w:p>
    <w:p>
      <w:r>
        <w:t>Sous l'angle phonétique, la marque opposante est formée de six syllabes, à savoir o-sci-llo-coc-ci-num. La marque attaquée est quant à elle constituée de cinq syllabes - an-ti-coc-ci-num. S'il y a lieu de reconnaître que dites marques coïncident sur leurs trois syllabes finales, force est toutefois de constater que les sons formant "oscillo" et "anti" sont clairement distincts. La prononciation desdites marques n'impose par ailleurs pas une séparation entre chacun des éléments (oscillo, anti et coccinum) qui les composent ; "coccinum" n'est en conséquence pas mis en évidence d'un point de vue auditif. Partant, ce qui a été dit ci-dessus sous l'angle visuel vaut, mutatis mutandis, également dans ce contexte.</w:t>
      </w:r>
    </w:p>
    <w:p>
      <w:r>
        <w:rPr>
          <w:b/>
        </w:rPr>
        <w:t>E. 7.3.1</w:t>
      </w:r>
    </w:p>
    <w:p>
      <w:r>
        <w:t>Il ressort de ce qui précède que les marques opposées se distinguent clairement tant sous l'angle visuel que phonétique de par leurs lettres et syllabes initiales. C'est dire qu'il n'existe aucun risque de confusion direct entre dites marques (voir dans le même sens : ATF 84 II 441 consid. 3 Xylocain/Celecain ; sic! 2005 655 consid. 5 Leponex/Felonex, sic! 2004 100 consid. 4 Ixense/Axensee, sic! 2000 306 consid. 4 Nasobol/Lysobol ; Revue suisse de la propriété intellectuelle [RSPI] 1996 323 consid. 10 à 12 Megakine/Depakine ; voir également : sic! 2000 304 consid. 4 Telekom/Swisscom, sic! 1997 300 consid. 5 Sulox/Oslox).</w:t>
      </w:r>
    </w:p>
    <w:p>
      <w:r>
        <w:rPr>
          <w:b/>
        </w:rPr>
        <w:t>E. 7.3.2</w:t>
      </w:r>
    </w:p>
    <w:p>
      <w:r>
        <w:t>Comme nous venons de le voir, la marque attaquée contient le suffixe "coccinum" qui se trouve dans la marque opposante. Dans ces circonstances, il convient encore d'examiner si cette terminaison commune pourrait amener le consommateur moyen à croire, à tort, à l'existence de rapports qui n'existent pas entre les marques en présence, notamment en pensant à des marques de série désignant différentes lignes de produits provenant de la même entreprise ou d'entreprises économiquement liées. Il convient certes de protéger le consommateur des risques qu'engendreraient une confusion lors de l'achat de produits pharmaceutiques destinés, comme en l'espèce, au grand public. On rencontre toutefois souvent des préparations pharmaceutiques dont les noms ont en commun plusieurs lettres ou syllabes finales. Il en va notamment ainsi d'Amoxicillin, Pénicilline, Phenocillin, Pipéracilline, Stabicilline, de Chirocaïne, Mébucaïne, Solarcaïne, Solmucaïne, Ultracaïne, de Buccaline, Ritaline, Sertraline, Tyroqualine, ou d'Akne-mycin, Aithromycine, Clarithromycine, Clindamycine, Néomycine, Rovamycine, Vibramycine (Compendium Suisse des médicaments, édition Internet, in : www.kompedium.ch). Ce n'est pas pour autant que le consommateur moyen déduira que chaque préparation se terminant par "-cillin(e)", "-caïne", "-aline" ou "-mycine" provienne de la même entreprise pharmaceutique. Rien ne permet d'affirmer le contraire s'agissant de marques pharmaceutiques contenant le suffixe "coccinum", d'autant plus que la terminaison "(n)um", couramment utilisée dans le milieu médical (par exemple : Conversum, Antacidum, Imodium, Lucilium, Motilium, Valium ; mais également : chlorure d'alluminium, cétrimonium, lithium, magnésium, bromure de pancuronium, potassium, sélénium) (cf. Compendium Suisse des médicaments) est allusive des médicaments en général. S'il est en outre vrai que "coccinum" a une sonorité particulière compte tenu de la présence du son [ks], il n'en reste pas moins que, en raison de la longueur tant visuelle que phonétique des marques en présence (quinze et douze lettres ; six et cinq syllabes), le suffixe litigieux est dilué dans l'impression d'ensemble. C'est dire que le consommateur moyen, en présence des marques opposées, ne les associera pas à des marques de série d'une même entreprise pharmaceutique. L'existence d'un danger de confusion indirect doit ainsi être écartée.</w:t>
      </w:r>
    </w:p>
    <w:p>
      <w:r>
        <w:rPr>
          <w:b/>
        </w:rPr>
        <w:t>E. 8</w:t>
      </w:r>
    </w:p>
    <w:p>
      <w:r>
        <w:t>Il ressort de ce qui précède que le grand public n'est pas à même de confondre les marques opposées. Par conséquent, la marque attaquée ne porte pas atteinte à la fonction distinctive de la marque opposante. Partant, bien fondé, le recours formé par ARACS SA doit être admis, les chiffres 1 et 3 de la décision du 11 février 2009 de l'IPI doivent être annulés et l'opposition n° 9607 rejetée.</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de l'intimée qui succombe. L'avance de frais de Fr. 5'000.- versée par la recourante le 20 mars 2009 est restituée à cette dernière.</w:t>
      </w:r>
    </w:p>
    <w:p>
      <w:r>
        <w:rPr>
          <w:b/>
        </w:rPr>
        <w:t>E. 8.2</w:t>
      </w:r>
    </w:p>
    <w:p>
      <w:r>
        <w:t>La recourante, qui obtient gain de cause et qui est représentée par un avocat,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la recourante n'a pas présenté de note de frais. Ainsi, sur la base du dossier (art. 14 al. 2 FITAF), il lui est équitablement alloué une indemnité de Fr. 2'500.- (TVA comprise) à titre de dépens pour la procédure de recours. Dès lors qu'elle n'a pas agi activement dans le cadre de la procédure devant l'autorité inférieure, aucune somme ne lui est accordée en sus pour cette procédure.</w:t>
      </w:r>
    </w:p>
    <w:p>
      <w:r>
        <w:rPr>
          <w:b/>
        </w:rPr>
        <w:t>E. 9</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