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B-1675/2008 vom 14. Oktober 2008</w:t>
      </w:r>
    </w:p>
    <w:p>
      <w:r>
        <w:t>Bundesverwaltungsgericht, 2008-10-14, DE</w:t>
      </w:r>
    </w:p>
    <w:p>
      <w:r>
        <w:rPr>
          <w:b/>
        </w:rPr>
        <w:t xml:space="preserve">Quelle: </w:t>
      </w:r>
      <w:r>
        <w:t>https://mcp.opencaselaw.ch/entscheid/bvger_B-1675_2008</w:t>
      </w:r>
    </w:p>
    <w:p>
      <w:r>
        <w:t>FR: TAF B-1675/2008 du 14 octobre 2008</w:t>
      </w:r>
    </w:p>
    <w:p>
      <w:r>
        <w:t>IT: TAF B-1675/2008 del 14 ottobre 2008</w:t>
      </w:r>
    </w:p>
    <w:p>
      <w:pPr>
        <w:pStyle w:val="Heading2"/>
      </w:pPr>
      <w:r>
        <w:t>Regeste</w:t>
      </w:r>
    </w:p>
    <w:p>
      <w:r>
        <w:t>Stiftungsaufsicht</w:t>
      </w:r>
    </w:p>
    <w:p>
      <w:pPr>
        <w:pStyle w:val="Heading2"/>
      </w:pPr>
      <w:r>
        <w:t>Erwägungen</w:t>
      </w:r>
    </w:p>
    <w:p>
      <w:r>
        <w:rPr>
          <w:b/>
        </w:rPr>
        <w:t>E. 1</w:t>
      </w:r>
    </w:p>
    <w:p>
      <w:r>
        <w:t>Die Beschwerde wird teilweise gutgeheissen und die Dispositiv-Ziffern 3 und 4 der vorinstanzlichen Verfügung vom 11. Februar 2008 werden aufgehoben. Die Sache wird zur Regelung der Kostenfolgen im Verfahren vor der Vorinstanz und zur Beurteilung der Entschädigungsforderung des Beschwerdeführers an ebendiese zurückgewiesen. Im Übrigen wird das Beschwerdeverfahren zufolge Gegenstandslosigkeit abgeschrieben.</w:t>
      </w:r>
    </w:p>
    <w:p>
      <w:r>
        <w:rPr>
          <w:b/>
        </w:rPr>
        <w:t>E. 2</w:t>
      </w:r>
    </w:p>
    <w:p>
      <w:r>
        <w:t>Die Kosten für das Verfahren vor Bundesverwaltungsgericht in der Höhe von Fr. 700.- werden der Beschwerdegegnerin auferlegt. Der Betrag ist innert 30 Tagen nach Eintritt der Rechtskraft des vorliegenden Urteils zu Gunsten der Gerichtskasse zu überweisen. Der vom Beschwerdeführer geleistete Kostenvorschuss von Fr. 700.- wird ihm nach Eintritt der Rechtskraft dieses Urteils zurückerstattet.</w:t>
      </w:r>
    </w:p>
    <w:p>
      <w:r>
        <w:rPr>
          <w:b/>
        </w:rPr>
        <w:t>E. 3</w:t>
      </w:r>
    </w:p>
    <w:p>
      <w:r>
        <w:t>Die Beschwerdegegnerin hat dem Beschwerdeführer für das Verfahren vor Bundesverwaltungsgericht einen Betrag von Fr. 4'217.90 (inkl. Auslagen und MWSt) an seine richterlich genehmigten Parteikosten zu bezahlen.</w:t>
      </w:r>
    </w:p>
    <w:p>
      <w:r>
        <w:rPr>
          <w:b/>
        </w:rPr>
        <w:t>E. 4</w:t>
      </w:r>
    </w:p>
    <w:p>
      <w:r>
        <w:t>Nach Eintritt der Rechtskraft des vorliegenden Urteils werden die Akten der Vorinstanz zum weiteren Vorgehen gemäss vorstehender Dispositiv-Ziffer 1 übermittelt.</w:t>
      </w:r>
    </w:p>
    <w:p>
      <w:r>
        <w:rPr>
          <w:b/>
        </w:rPr>
        <w:t>E. 5</w:t>
      </w:r>
    </w:p>
    <w:p>
      <w:r>
        <w:t>Dieses Urteil geht an: den Beschwerdeführer (Gerichtsurkunde; Beilage: Rückerstattungsformular) die Beschwerdegegnerin (Gerichtsurkunde) die Vorinstanz (Ref-Nr. 413/243; Gerichtsurkunde) Die vorsitzende Richterin: Der Gerichtsschreiber: Eva Schneeberger Daniel Peyer Rechtsmittelbelehrung: Gegen dieses Urteil kann innert 30 Tagen nach Eröffnung beim Bundesgericht, 1000 Lausanne 14, Beschwerde in Zivilsachen geführt werden (Art. 72 ff., 90 ff. und 100 des Bundesgerichtsgesetzes vom 17. Juni 2005 [BGG, SR 173.110]). Die Rechtsschrift hat die Begehren, deren Begründung mit Angabe der Beweismittel und die Unterschrift zu enthalten. Der angefochtene Entscheid und die Beweismittel sind, soweit sie der Beschwerdeführende in Händen hat, beizulegen (vgl. Art. 42 BGG). Versand: 16. Oktober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