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B-1608/2014 vom 6. August 2014</w:t>
      </w:r>
    </w:p>
    <w:p>
      <w:r>
        <w:t>Bundesverwaltungsgericht, 2014-08-06, FR</w:t>
      </w:r>
    </w:p>
    <w:p>
      <w:r>
        <w:rPr>
          <w:b/>
        </w:rPr>
        <w:t xml:space="preserve">Quelle: </w:t>
      </w:r>
      <w:r>
        <w:t>https://mcp.opencaselaw.ch/entscheid/bvger_B-1608_2014</w:t>
      </w:r>
    </w:p>
    <w:p>
      <w:r>
        <w:t>FR: TAF B-1608/2014 du 6 août 2014</w:t>
      </w:r>
    </w:p>
    <w:p>
      <w:r>
        <w:t>IT: TAF B-1608/2014 del 6 agosto 2014</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LTAF et art. 5 al. 1 let. a PA). La qualité pour recourir doit être reconnue à la recourante (cf. art. 48 al. 1 PA). Les autres conditions de recevabilité sont en outre respectées (cf. art. 11 al. 1, 50 al. 1, 52 al. 1 et 63 al. 4 PA). Le recours est ainsi recevable.</w:t>
      </w:r>
    </w:p>
    <w:p>
      <w:r>
        <w:rPr>
          <w:b/>
        </w:rPr>
        <w:t>E. 2</w:t>
      </w:r>
    </w:p>
    <w:p>
      <w:r>
        <w:t>L'ordonnance du 7 décembre 1998 sur l'examen suisse de maturité (RS 413.12 ; ci-après : l'ordonnance)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l'examen doit permettre de juger si le candidat possède la maturité nécessaire aux études supérieures. L'art. 10 al. 1 de l'ordonnance prévoit que la commission édicte des directives pour la Suisse alémanique, pour la Suisse romande et pour la Suisse italienne. Les directives fixent notamment les procédures et les critères d'évaluation (let. c). Se fondant sur cet article, la Commission suisse de maturité a édicté en mars 2011 les Directives pour l'examen suisse de maturité, valables dès le 1er janvier 2012 (ci après : les directives, &lt; http://www.sbfi.admin.ch/themen/01366/01379/01626/index.html?lang=fr &gt;).</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131 I 467 consid. 3.1, 121 I 225 consid. 4b ; ATAF 2008/14 consid. 3.1 ; Herbert Plotke, Schweizerisches Schulrecht, 2e éd., 2003, p. 722 ss). La retenue dans le pouvoir d'examen n'est toutefois admissible qu'à l'égard de l'évaluation proprement dite des prestations. Dans la mesure où les recourants contestent l'interprétation et l'application de prescriptions légales ou s'ils se plaignent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106 Ia 1 consid. 3c ; ATAF 2010/11 consid. 4.2, 2008/14 consid. 3.3, 2007/6 consid. 3 et réf. cit. ; arrêt du TAF C-7679/2006 du 14 juin 2007 consid. 2 ; JAAC 56.16 consid. 2.2 ; Patricia Egli, Gerichtlicher Rechtsschutz bei Prüfungsfällen : Aktuelle Entwicklungen, in : Schweizerisches Zentralblatt für Staats- und Verwaltungsrecht [ZBl] 112/2011, p. 538 ss ; Plotke, op. cit., p. 725 ss).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Du fait qu'en matière d'examen, l'autorité de recours n'a pas la compétence de substituer son pouvoir d'appréciation à celui de la commission d'examen, l'admission d'un vice formel ne pourrait conduire tout au plus qu'à autoriser les recourants à repasser les épreuves en question (cf. arrêt du TAF B-1599/2012 du 10 décembre 2012 consid. 6 et réf. cit.).</w:t>
      </w:r>
    </w:p>
    <w:p>
      <w:r>
        <w:rPr>
          <w:b/>
        </w:rPr>
        <w:t>E. 4</w:t>
      </w:r>
    </w:p>
    <w:p>
      <w:r>
        <w:t>Invoquant une inégalité de traitement, la recourante se plaint du déroulement de son épreuve orale d'allemand. Elle soutient avoir été très déstabilisée par un visiteur au comportement totalement déplacé. Pour attester ses dires, elle se réfère à un écrit d'une autre candidate qui aurait vécu la même situation.</w:t>
      </w:r>
    </w:p>
    <w:p>
      <w:r>
        <w:rPr>
          <w:b/>
        </w:rPr>
        <w:t>E. 4.1</w:t>
      </w:r>
    </w:p>
    <w:p>
      <w:r>
        <w:t>Le principe de la bonne foi et l'interdiction de l'arbitraire (art. 9 Cst.) s'opposent à ce que des griefs d'ordre formel qui auraient pu être soulevés à un stade antérieur soient invoqués plus tard, une fois une issue défavorable connue (cf. ATF 135 III 334 consid. 2.2, 134 I 20 consid. 4.3.1, 132 II 485 consid. 4.3,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B-6075/2012 du 6 juin 2013 consid. 4.1.2 et B-1465/2010 du 19 janvier 2011 consid. 6.3 ; arrêt du TF 2P.14/2002 du 10 juillet 2002 consid. 3.2 ; ATF 124 I 121/JdT 1999 I 159 consid. 2).</w:t>
      </w:r>
    </w:p>
    <w:p>
      <w:r>
        <w:rPr>
          <w:b/>
        </w:rPr>
        <w:t>E. 4.2</w:t>
      </w:r>
    </w:p>
    <w:p>
      <w:r>
        <w:t>Il suit de là que, si la recourante avait, d'une quelconque manière, été perturbée ou dérangée durant son examen par le comportement du visiteur, elle devait le signaler sans délai. Or, en l'occurrence, elle ne s'est plainte d'avoir été déstabilisée ni durant l'épreuve ni après celle-ci. Elle ne s'est pas non plus adressée à la direction des examens le plus tôt possible après l'épreuve en cause. Au contraire, alors que l'examen oral d'allemand a eu lieu le 12 février 2014, elle n'a pris contact avec l'autorité inférieure que le 24 février 2014, à savoir après avoir eu connaissance de la décision du 21 février 2014 constant son échec. Dans ces circonstances, on ne saurait considérer qu'elle ait invoqué sans retard les prétendues irrégularités dans la manière dont les examens s'étaient déroulés. De plus, si l'expert était occupé à la suite de l'épreuve en cause, cela ne dispensait nullement la recourante de s'adresser le plus rapidement possible à la direction des examens. Son grief s'avère en conséquence tardif. Sur le vu de ce qui précède, la question de savoir si le visiteur a effectivement eu le comportement allégué par la recourante, et si celle-ci a été, compte tenu de son état de santé, déstabilisée, importe peu et peut demeurer indécise.</w:t>
      </w:r>
    </w:p>
    <w:p>
      <w:r>
        <w:rPr>
          <w:b/>
        </w:rPr>
        <w:t>E. 5</w:t>
      </w:r>
    </w:p>
    <w:p>
      <w:r>
        <w:t>En définitive, l'acte attaqué ne viole pas le droit fédéral, ne constate pas les faits pertinents de manière inexacte ou incomplète et n'est pas inopportun (cf. art. 49 PA). Mal fondé, le recours doit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500 francs ; ils sont entièrement compensés par l'avance de frais de 500 francs prestée, le 22 avril 2014, par la recourante. Compte tenu de l'issue de la procédure, la recourante n'a pas droit à des dépens (cf. art. 64 al. 1 PA et art. 7 al. 1 FITAF a contrario).</w:t>
      </w:r>
    </w:p>
    <w:p>
      <w:r>
        <w:rPr>
          <w:b/>
        </w:rPr>
        <w:t>E. 7</w:t>
      </w:r>
    </w:p>
    <w:p>
      <w:r>
        <w:t>Le présent arrêt est définitif (cf. art. 83 let. t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