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B-1566/2007 vom 14. Juli 2008</w:t>
      </w:r>
    </w:p>
    <w:p>
      <w:r>
        <w:t>Bundesverwaltungsgericht, 2008-07-14, DE</w:t>
      </w:r>
    </w:p>
    <w:p>
      <w:r>
        <w:rPr>
          <w:b/>
        </w:rPr>
        <w:t xml:space="preserve">Quelle: </w:t>
      </w:r>
      <w:r>
        <w:t>https://mcp.opencaselaw.ch/entscheid/bvger_B-1566_2007</w:t>
      </w:r>
    </w:p>
    <w:p>
      <w:r>
        <w:t>FR: TAF B-1566/2007 du 14 juillet 2008</w:t>
      </w:r>
    </w:p>
    <w:p>
      <w:r>
        <w:t>IT: TAF B-1566/2007 del 14 luglio 2008</w:t>
      </w:r>
    </w:p>
    <w:p>
      <w:pPr>
        <w:pStyle w:val="Heading2"/>
      </w:pPr>
      <w:r>
        <w:t>Regeste</w:t>
      </w:r>
    </w:p>
    <w:p>
      <w:r>
        <w:t>Privatversicherung</w:t>
      </w:r>
    </w:p>
    <w:p>
      <w:pPr>
        <w:pStyle w:val="Heading2"/>
      </w:pPr>
      <w:r>
        <w:t>Erwägungen</w:t>
      </w:r>
    </w:p>
    <w:p>
      <w:r>
        <w:rPr>
          <w:b/>
        </w:rPr>
        <w:t>E. 1</w:t>
      </w:r>
    </w:p>
    <w:p>
      <w:r>
        <w:t>Der Entscheid der Vorinstanz vom 23. Januar 2007 stellt eine Verfügung im Sinne von Art. 5 Abs. 1 Bst. c des Bundesgesetzes vom 20. Dezember 1968 über das Verwaltungsverfahren (VwVG, SR 172.021) dar. Der Beschwerdeführer ist Adressat der angefochtenen Verfügung und durch diese berührt. Er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2</w:t>
      </w:r>
    </w:p>
    <w:p>
      <w:r>
        <w:t>Indem der Beschwerdeführer vorbringt, durch Art. 185 Bst. c AVO werde sein "Recht auf freie Berufsausübung" verletzt, macht er implizit geltend, in seinen Grundrechten eingeschränkt worden zu sein.</w:t>
      </w:r>
    </w:p>
    <w:p>
      <w:r>
        <w:rPr>
          <w:b/>
        </w:rPr>
        <w:t>E. 2.1</w:t>
      </w:r>
    </w:p>
    <w:p>
      <w:r>
        <w:t>Art. 94 BV statuiert das System einer Wirtschaftsordnung des freien Wettbewerbs. Dieser institutionelle Grundsatz wird in Art. 27 BV im Rahmen seiner individualrechtlichen Funktion konkretisiert (Ulrich Häfelin/Walter Haller, Schweizerisches Bundesstaatsrecht, 6. Aufl., Zürich 2005, N. 624 ff.). Bei der Wirtschaftsfreiheit, die gemäss Art. 27 Abs. 2 BV das Recht auf einen freien Berufszugang umfasst, handelt es sich primär um ein Abwehrrecht gegenüber dem Staat. Sie schützt in individualrechtlicher Hinsicht die freie privatwirtschaftliche Betätigung in einem umfassenden Sinn. Nicht geschützt ist hingegen eine allfällige wirtschaftliche Betätigung des öffentlichen Dienstes bzw. im öffentlichen Dienst (Bernhard Ehrenzeller/Philippe Mastronardi/Rainer J. Schweizer/Klaus A. Vallender, Die Schweizerische Bundesverfassung, Kommentar, Zürich 2008, N. 9 zu Art. 27). Dies hat zur Folge, dass jegliche gewerbsmässig ausgeübte privatwirtschaftliche Tätigkeit, die der Erzielung eines Gewinnes oder eines Erwerbseinkommens dient, Schutzobjekt von Art. 27 BV ist. Dabei ist unwesentlich, ob es sich um eine selbständige oder unselbständige bzw. um eine haupt- oder nebenberufliche Erwerbstätigkeit handelt (Jörg Paul Müller, Grundrechte in der Schweiz, 3. Aufl., Bern 1999, S. 644 ff.). Bei der Vermittlung von Versicherungen handelt es sich ohne weiteres um eine privatwirtschaftliche Tätigkeit, unabhängig davon, ob sie selbständig (d.h. als ungebundener Versicherungsvermittler) oder unselbständig ausgeübt wird. In der Regel verrichtet der Versicherungsvermittler seine Tätigkeit gegen Entgelt in Form von Courtagen oder Zahlung durch den Kunden. Unmassgeblich ist, ob die Tätigkeit haupt- oder nebenberuflich ausgeführt wird. Die Berufsausübung als Versicherungsvermittler fällt demnach in den Schutzbereich der Wirtschaftsfreiheit in ihrer Ausprägung als Recht auf einen freien Berufszugang gemäss Art. 27 Abs. 2 BV. Indem dem Beschwerdeführer die Eintragung in das Register für Versicherungsvermittler verweigert wurde, und er dadurch seinem Beruf als ungebundener Versicherungsvermittler nicht nachgehen kann, ist er in der Ausübung seiner Erwerbstätigkeit und somit in seiner Wirtschaftsfreiheit berührt.</w:t>
      </w:r>
    </w:p>
    <w:p>
      <w:r>
        <w:rPr>
          <w:b/>
        </w:rPr>
        <w:t>E. 2.2</w:t>
      </w:r>
    </w:p>
    <w:p>
      <w:r>
        <w:t>Wie jedes Grundrecht gilt auch die Wirtschaftsfreiheit nicht absolut. Dies ergibt sich schon aus Art. 95 Abs. 1 BV, wonach der Bund Vorschriften über die Ausübung der privatwirtschaftlichen Erwerbstätigkeit erlassen kann. Grundsätzlich ist bei Eingriffen in Grundrechte zwischen grundsatzkonformen und grundsatzwidrigen zu unterscheiden. Gründe für grundsatzkonforme Eingriffe in die Wirtschaftsfreiheit sind im Polizeigüterschutz bzw. in verwandten sozialpolitischen Zielen zu sehen. Zu nennen sind u.a. der Schutz der öffentlichen Ordnung, der Gesundheit, der Sittlichkeit und Sicherheit, sowie von Treu und Glauben im Geschäftsverkehr (BGE 125 I 335 E. 2a). Qualitativ gesehen ist ein Eingriff in der Regel dann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zu einer Abweichung vom Prinzip einer wettbewerbsgesteuerten Privatwirtschaft, handelt es sich um einen grundsatzwidrigen Eingriff, der gemäss Art. 94 Abs. 4 BV aufgrund des erhöhten demokratischen Legitimationsbedarfs einer Grundlage in der Bundesverfassung selbst bedarf (Ehrenzeller/Mastronardi/Schweizer/Vallender, a.a.O., N. 4 zu Art. 94). Bei der Registrierungspflicht für ungebundene Versicherungsvermittler handelt es sich um eine Massnahme, die dem Polizeigut von Treu und Glauben im Geschäftsverkehr dienen soll. Ziel ist nicht, den Wettbewerb zu beeinträchtigen oder gewisse Bereiche des Privatversicherungswesens dem freien Wettbewerb zu entziehen. Vielmehr soll den Versicherungsnehmern einerseits die Gewissheit gegeben werden, dass der sie beratende Versicherungsvermittler für seine Tätigkeit genügend qualifiziert ist, und andererseits, dass er im Haftungsfall über eine genügende finanzielle Deckung durch eine Haftpflichtversicherung verfügt. Sodann dient das Verfahren der Registrierung dem Schutz der Kunden vor Missbräuchen durch Versicherungsvermittler, von denen die begründete Gefahr ausgeht, dass sie nicht im Interesse ihrer Kunden handeln könnten. Schliesslich soll durch das öffentlich einsehbare Register die Transparenz im Geschäftsverkehr erhöht werden. Die Regelung in Art. 185 Bst. c AVO zielt laut Vernehmlassung der Vorinstanz vom 27. Juni 2007 in dieselbe Richtung. So soll das im Finanzmarkt besonders zentrale Vertrauen der Versicherungsnehmer in die Versicherungsvermittler dadurch gestärkt werden, dass auf diese keine Verlustscheine ausgestellt sein dürfen, weil Verlustscheine grundsätzlich die Seriosität der Versicherungsvermittler in Frage stellen. Insgesamt kann demnach festgehalten werden, dass es sich beim Erfordernis gemäss Art. 185 Bst. c AVO um einen grundsatzkonformen Eingriff in die Wirtschaftsfreiheit handelt.</w:t>
      </w:r>
    </w:p>
    <w:p>
      <w:r>
        <w:rPr>
          <w:b/>
        </w:rPr>
        <w:t>E. 2.3</w:t>
      </w:r>
    </w:p>
    <w:p>
      <w:r>
        <w:t>Grundsatzkonforme Eingriffe in Grundrechte dürfen in den Schranken von Art. 36 BV vorgenommen werden, was auch für Eingriffe in die Wirtschaftsfreiheit gilt (Häfelin/Haller, a.a.O, N. 668 ff.). Aus Art. 36 BV ergibt sich, dass Eingriffe in Grundrechte einer gesetzlichen Grundlage bedürfen, wobei schwere Einschränkungen im Gesetz selbst vorgesehen sein müssen. Weiter müssen überwiegende öffentliche Interessen den Eingriff rechtfertigen und das Verhältnismässigkeitsprinzip muss berücksichtigt werden. Schliesslich ist der Kerngehalt des jeweiligen Grundrechts nicht antastbar. Gemäss Lehre und Rechtsprechung des Bundesgerichts stehen die verschiedenen Voraussetzungen in Art. 36 BV in einer Rangordnung zueinander. Fehlt die gesetzliche Grundlage für einen Eingriff, müssen die weiteren Voraussetzungen nicht mehr geprüft werden (Ehrenzeller/Mastronardi/Schweizer/ Vallender, a.a.O., N. 8 zu Art. 36; BGE 90 I 29 E. 5).</w:t>
      </w:r>
    </w:p>
    <w:p>
      <w:r>
        <w:rPr>
          <w:b/>
        </w:rPr>
        <w:t>E. 2.3.1</w:t>
      </w:r>
    </w:p>
    <w:p>
      <w:r>
        <w:t>Bei der Anforderung an die gesetzliche Grundlage wird auf die Schwere des Eingriffs abgestellt. Je schwerer dieser wiegt, desto höher sind die Anforderungen an die demokratische Legitimation des Erlasses. Sofern der Eingriff schwer wiegt, bedarf er einer klaren und ausdrücklichen Regelung in einem formellen Gesetz (BGE 126 I 112 E. 3c). Ist der schwere Eingriff hingegen dergestalt, dass er per se lediglich in einer beschränkten Anzahl von Fällen zur Anwendung kommt und nach dem Empfinden der Allgemeinbevölkerung eher von kleiner Relevanz ist, darf keine allzu hohe Anforderung an die Ausdrücklichkeit der gesetzlichen Grundlage gestellt werden. Unter diesen Umständen genügt es, wenn sich der Eingriff aus einem allgemeinen Grundsatz in einem formellen Gesetz ergibt (BGE 123 I 296 E. 3). Bei weniger schweren Eingriffen genügt eine Verordnung, wobei diese aber in jedem Fall formell und materiell verfassungsmässig sein muss. Insbesondere muss sie vom zuständigen Organ erlassen worden sein und sich im Rahmen der Gesetzesdelegation bewegen (Ehrenzeller/ Mastronardi/Schweizer/Vallender, a.a.O., N. 12 zu Art. 36). Bei einer unselbständigen Verordnung wie der AVO bedeutet dies, dass zumindest die Grundzüge des Eingriffs in einem formellen Gesetz geregelt sein müssen. Soll die Gesetzgebungskompetenz delegiert werden, muss dies ebenso im jeweiligen formellen Gesetz festgehalten sein. Schliesslich muss der gesetzlichen Grundlage eine gewisse Normendichte zukommen, indem sie genügend bestimmt und klar ist. Je schwerwiegender der Eingriff ist, desto klarer und eindeutiger muss er in der gesetzlichen Grundlage umschrieben sein. Dies rechtfertigt sich schon aufgrund des Legalitätsprinzips, aber auch aus Aspekten der Rechtssicherheit und Rechtsgleichheit (Jean-François Aubert/Pascal Mahon, Petit commentaire de la Constitution fédérale de la Confédération suisse, Zürich 2003, N 9 zu Art. 36).</w:t>
      </w:r>
    </w:p>
    <w:p>
      <w:r>
        <w:rPr>
          <w:b/>
        </w:rPr>
        <w:t>E. 2.3.2</w:t>
      </w:r>
    </w:p>
    <w:p>
      <w:r>
        <w:t>Wie schwer der Eingriff in die Wirtschaftsfreiheit durch das Erfordernis von Art. 185 Bst. c AVO im konkreten Fall ist, ergibt sich aus dem Schutzbereich der Wirtschaftsfreiheit. Bei der Beurteilung gelten keine allgemeinen Massstäbe. Vielmehr muss die rechtsanwendende Behörde die Schwere der Einschränkung bezogen auf den Einzelfall qualifizieren (Aubert/Mahon, a.a.O., N 8 zu Art. 36). In Art. 27 Abs. 2 BV sind die zentralen Teilgehalte der Wirtschaftsfreiheit in nicht abschliessender Weise aufgezählt (Ehrenzeller/ Mastronardi/Schweizer/Vallender, a.a.O., N. 14 zu Art. 27). Es handelt sich dabei um die Rechte auf freie Wahl des Berufs, auf freien Berufszugang sowie auf die freie Berufsausübung. Das vorliegend interessierende Recht auf freien Berufszugang hat seine Bedeutung im Wesentlichen in seiner Ausprägung als Garantie für einen freien Marktzutritt. Insbesondere sollen die privatwirtschaftlich Tätigen dadurch vor grundsatzwidrigen und vor unverhältnismässigen grundsatzkonformen Marktzutrittsbarrieren geschützt werden. Gerade in diesem Zusammenhang stellen Bewilligungspflichten für die Berufsausübung in der Regel eher schwerwiegende Eingriffe in die Wirtschaftsfreiheit dar (BGE 123 I 212 E. 3a, BGE 116 Ia 118 E. 4a, BGE 104 Ia 196 E. 3; Ehrenzeller/Mastronardi/Schweizer/Vallender, a.a.O., N. 14 zu Art. 27, Häfelin/Haller, a.a.O, N. 669). Im konkreten Fall wird die Tätigkeit als ungebundener Versicherungsvermittler von einer Registrierung abhängig gemacht. Voraussetzung für die Eintragung in das Register ist u.a., dass auf den Namen des Gesuchstellers keine Verlustscheine lauten. Sind auf den Gesuchsteller Verlustscheine ausgestellt worden, wird ihm die Aufnahme in das Register nach dem Wortlaut von Art. 185 Bst. c AVO ungeachtet der Höhe der Verlustscheine und der Umstände, die zu ihnen geführt haben, verweigert. Dies hat zur Folge, dass der Gesuchsteller seinen Beruf bis zu einer allfälligen Abzahlung seiner in den Verlustscheinen ausgewiesenen Schulden nicht in ungebundener Stellung ausüben kann. Bei der Registrierungspflicht im Allgemeinen wie auch bei der hier interessierenden Voraussetzung in Art. 185 Bst. c AVO handelt es sich demnach um einen nicht mehr als leicht zu qualifizierenden, jedenfalls mittelschweren Eingriff in die Wirtschaftsfreiheit, da er den Zugang zum Beruf für die Betroffenen stark erschwert oder - je nach Höhe der Schulden - gar verunmöglicht. Die gesetzliche Grundlage für einen solchen Eingriff muss diesen demnach mindestens in den Grundzügen regeln. Dies bedeutet im vorliegenden Fall, dass die Regelung von Art. 185 Bst. c AVO nicht über den jeweiligen Zweck der gesetzlichen Grundlage hinaus gehen darf.</w:t>
      </w:r>
    </w:p>
    <w:p>
      <w:r>
        <w:rPr>
          <w:b/>
        </w:rPr>
        <w:t>E. 2.4</w:t>
      </w:r>
    </w:p>
    <w:p>
      <w:r>
        <w:t>Unbestritten ist, dass die Registrierungspflicht als Institut in Art. 43 VAG geregelt ist und somit als grundsatzkonforme Einschränkung der Wirtschaftsfreiheit über eine genügende formellgesetzliche Grundlage verfügt. Umstritten ist hingegen, welche Bestimmung des VAG die Regelung von allfälligen zusätzlichen Modalitäten für einen Registereintrag an den Bundesrat delegiert. Der Beschwerdeführer bringt vor, Art. 44 VAG (Marginalie: "Voraussetzungen für den Eintrag ins Register") halte lediglich fest, dass der Gesuchsteller genügende berufliche Qualifikationen vorzuweisen habe, und zudem über eine Haftpflichtversicherung bzw. gleichwertige finanzielle Sicherheiten verfügen müsse. Das Erfordernis, wonach keine Verlustscheine bestehen dürfen, ergebe sich nicht aus Art. 44 VAG. Es handle sich dabei um eine persönliche Voraussetzung. In Art. 44 VAG seien jedoch lediglich fachliche und finanzielle Voraussetzungen aufgeführt. Insofern genüge Art. 44 VAG als gesetzliche Grundlage für die Einführung von zusätzlichen, auf die Person des Gesuchstellers bezogenen Kriterien nicht.</w:t>
      </w:r>
    </w:p>
    <w:p>
      <w:r>
        <w:rPr>
          <w:b/>
        </w:rPr>
        <w:t>E. 2.4.1</w:t>
      </w:r>
    </w:p>
    <w:p>
      <w:r>
        <w:t>Art. 44 VAG nennt in Abs. 1 die Voraussetzungen für einen Registereintrag. Demnach muss der Versicherungsvermittler über eine genügende berufliche Qualifikation verfügen (Bst. a) und eine Berufshaftpflichtversicherung bzw. gleichwertige finanzielle Sicherheiten vorweisen können (Bst. b). Abs. 2 von Art. 44 VAG gibt dem Bundesrat die Kompetenz, die Anforderungen an die beruflichen Qualifikationen sowie die Höhe der finanziellen Sicherheiten zu regeln. Dabei kann er die Regelung der technischen Einzelheiten der Aufsichtsbehörde überlassen. Der Wortlaut lässt nicht darauf schliessen, dass Art. 44 VAG Grundlage für weitere Voraussetzungen zur Eintragung in das Register für Versicherungsvermittler ist. Vielmehr werden die Voraussetzungen in Abs. 1 aufgezählt, ohne Hinweis darauf, dass es sich dabei um eine nicht abschliessende bzw. um eine beispielhafte Aufzählung handle. Dass die Voraussetzungen gemäss Art. 44 VAG abschliessend sind, ergibt sich zudem aus Art. 44 Abs. 2 VAG. In dieser Delegationsnorm wird nämlich ausdrücklich aufgeführt, worüber der Bundesrat Ausführungsbestimmungen erlassen kann (berufliche Qualifikationen und die Höhe der finanziellen Sicherheiten). Die Botschaft des Bundesrats zu einem Gesetz betreffend die Aufsicht über Versicherungsunternehmen (Versicherungsaufsichtsgesetz, VAG) und zur Änderung des Bundesgesetzes über den Versicherungsvertrag vom 9. Mai 2003 (Botschaft, BBl 2003 3789 ff.) führt zu den Voraussetzungen betreffend die Registrierung an, dass Versicherungsvermittler vor allem den Anforderungen hinsichtlich fachlichen Qualifikationen und finanzieller Sicherheit genügen müssten (BBl 2003 3802). Weiter ist der Botschaft zu entnehmen, dass sich die Regelung über die Registrierung von Versicherungsvermittlern weitgehend an die Richtlinie 2002/92/EG über die Versicherungsvermittlung orientiere und verschiedene ihrer Elemente aufgreife. So seien etwa die Registrierungspflicht für bestimmte Vermittler oder die Voraussetzungen der angemessenen Qualifikation und der finanziellen Gewähr in Anlehnung an die Richtlinie in den Gesetzesentwurf aufgenommen worden (BBl 2003 3826 mit Verweis auf BBl 2003 3802). Festzuhalten gilt es überdies, dass die in der Botschaft zitierte Richtlinie nebst den beruflichen und finanziellen Voraussetzungen auch vorschreibt, dass der jeweilige Vermittler "nie in Konkurs gegangen" sein darf (Art. 4 Abs. 2 Richtlinie). Weder die Botschaft noch die Materialien gehen auf dieses in der Richtlinie statuierte Kriterium ein. Daraus kann geschlossen werden, dass der Gesetzgeber in Art. 44 VAG bzw. dessen Ausführungsbestimmungen keine weiteren Voraussetzungen für die Registrierung aufnehmen oder aber derartige Anforderungen - falls überhaupt - an systematisch anderer Stelle regeln wollte. Schliesslich lässt sich auch der (spärlichen) Lehre zur Registrierung von Versicherungsvermittlern nichts entnehmen, was auf eine Delegationskompetenz zum Erlass weiterer Voraussetzungen schliessen liesse. Weber/Umbach halten vielmehr lediglich fest, dass "über den Wortlaut der Delegationsnorm von Art. 44 Abs. 2 VAG hinausgehend" Art. 185 AVO zusätzliche persönliche Voraussetzungen statuiere, die der Versicherungsvermittler für eine Aufnahme in das Register zu erfüllen habe (Rolf H. Weber/Patrick Umbach, Versicherungsaufsichtsrecht, Bern 2006, N 15 zu § 10). Es ist demnach festzuhalten, dass Art. 44 VAG nicht die gesetzliche Grundlage für Art. 185 AVO darstellen kann.</w:t>
      </w:r>
    </w:p>
    <w:p>
      <w:r>
        <w:rPr>
          <w:b/>
        </w:rPr>
        <w:t>E. 2.4.2</w:t>
      </w:r>
    </w:p>
    <w:p>
      <w:r>
        <w:t>Es stellt sich weiter die Frage, ob Art. 46 Abs. 1 Bst. f VAG eine genügende gesetzliche Grundlage für die Voraussetzung in Art. 185 Bst. c AVO ist. Gemäss Art. 46 Abs. 1 Bst. f VAG ist es Aufgabe der Vorinstanz als Aufsichtsbehörde, die Versicherten gegen Missbräuche der Versicherungsunternehmen und der Versicherungsvermittler zu schützen. Art. 46 Abs. 3 VAG delegiert die Kompetenz für den Erlass von Ausführungsbestimmungen zu den einzelnen Aufgaben in Art. 46 Abs. 1 VAG an den Bundesrat. Aus dem Wortlaut geht hervor, dass die Vorinstanz Versicherungsunternehmen und Versicherungsvermittler beaufsichtigt. Die Aufsichtspflicht wird ihrem Grundsatz nach in Art. 1 Abs. 2 VAG statuiert. Demnach sollen die Versicherten durch die Aufsichtstätigkeit u.a. vor Missbräuchen geschützt werden. Dabei handelt es sich gemäss Botschaft nicht um eine umfassende Definition der Aufsichtspflicht, sondern lediglich um eine Stossrichtung, welche die Erwartung der Bevölkerung, der Wirtschaft und der Politik wiedergeben soll, wonach die Aufsicht die Stärke, die Integrität und die Vertrauenswürdigkeit der Versicherungswirtschaft in der Schweiz zu fördern hat. Diese Elemente würden durch die einzelnen Bestimmungen des Gesetzes aufgegriffen (BBl 2003 3808). In Bezug auf die Versicherungsvermittlung im Speziellen geht aus der Botschaft hervor, dass zum Schutz der Versicherungsnehmer einerseits eine Registrierungspflicht eingeführt werden soll, die aufgrund von Synergien am besten der Aufsichtsbehörde unterstellt werde (BBl 2003 3826; 3852). Andererseits soll der sich aus dem Zweckartikel ergebende Konsumentenschutz in Form von Missbrauchsschutz nicht nur auf die Versicherungen, sondern auch auf die ungebundenen Vermittler beziehen. Dies ergibt sich aus Art. 46 Abs. 1 Bst. f VAG, der bestimmt, dass die Aufsichtsbehörde die Versicherten gegen den Missbrauch durch Versicherungsunternehmen und Versicherungsvermittler zu schützen habe. Gemäss Art. 46 Abs. 3 VAG kann der Bundesrat Ausführungsbestimmungen zu den einzelnen Aufgaben erlassen. Der Bundesrat hat von dieser Möglichkeit Gebrauch gemacht und Art. 46 Abs. 1 Bst. f VAG in Art. 117 AVO konkretisiert. Demnach besteht ein Missbrauch gemäss Art. 117 AVO (Bst. a) in einem Verhalten des Versicherungsunternehmens bzw. des Versicherungsvermittlers, das geeignet ist, Versicherte oder Anspruchsberechtigte erheblich zu schädigen, (Bst. b) in der Verwendung von Vertragsbestimmungen, die gegen zwingende Normen des Versicherungsvertragsgesetzes oder gegen zwingende Normen anderer Erlasse, die auf den Vertrag anwendbar sind, verstossen, oder (Bst. c) in der Verwendung von Vertragsbestimmungen, welche eine der Vertragsnatur erheblich widersprechende Verteilung von Rechten und Pflichten vorsehen. Art. 117 AVO regelt die Missbrauchstatbestände nicht abschliessend, denn einerseits sieht Art. 117 AVO lediglich eine nachträgliche Missbrauchskontrolle vor, andererseits geht aus der Botschaft hervor, dass die Aufsichtsgesetzgebung keinen Katalog möglicher Interventionsformen vorsieht. Vielmehr würden sich diese gemäss der erwähnten Botschaft aus der Art des festgestellten Missbrauchs sowie dessen Auswirkungen ergeben (BBl 2003 3828). In diesem Zusammenhang muss die Frage aufgeworfen werden, ob die Vorinstanz Missbräuche durch Versicherungsunternehmen und Versicherungsvermittler nur dann bekämpfen darf, wenn ein Registereintrag bereits erfolgt ist und die Missbräuche schon eingetreten sind bzw. unmittelbar drohen, oder ob das VAG eine genügende Grundlage für Regelungen zur prophylaktischen Missbrauchsbekämpfung im Rahmen der Prüfung der Registereintragung ist. Sowohl aus verschiedenen Bestimmungen des VAG als auch aus der Botschaft und der parlamentarischen Debatte geht hervor, dass der Vorinstanz als Aufsichtsbehörde auch die Kompetenz zukommen muss, allfällige Missbräuche, deren Begehung mit einer gewissen erhöhten Wahrscheinlichkeit droht, schon vor erfolgter Eintragung in das Register für Versicherungsvermittler und der Aufnahme einer Geschäftstätigkeit zu verhindern. Auf gesetzlicher Stufe kann in allgemeiner Weise auf die Bestimmungen für die Zulassung von Versicherungsunternehmen verwiesen werden (2. Kapitel: Aufnahme der Versicherungstätigkeit), wonach die Unternehmen, welche als Versicherung tätig werden wollen, eine ganze Reihe von Bedingungen erfüllen müssen, damit die Sicherheit der Konsumenten ab Aufnahme der Geschäftstätigkeit gewährleistet ist. In spezieller Hinsicht ergibt sich eine prophylaktische Prüfungspflicht aus Art. 6 Abs. 1 VAG. Danach wird die Bewilligung zur Tätigkeit als Versicherungsunternehmen nur dann erteilt, wenn "die Interessen der Versicherten gewahrt sind." Dies kann nichts anderes bedeuten, als dass schon im Vorfeld einer allfälligen Aufnahme der Geschäftstätigkeit überprüft werden muss, ob ein Versicherungsunternehmen die Voraussetzungen mitbringt, die Interessen der Versicherten wahrzunehmen. In der Botschaft wird an verschiedenen Stellen auf die Glaubwürdigkeit, welche der Versicherungsbranche und den Versicherungsvermittlern zukommen muss, hingewiesen (BBl 2003 3790; 3794; 3804; 3808; 3828). Was für Versicherungsunternehmen gilt, muss im Grundsatz auch für ungebundene Versicherungsvermittler gelten. In Bezug auf diese ergibt sich der Wille des Gesetzgebers insbesondere auch aus einem bundesrätlichen Votum anlässlich der Debatte zum VAG, wonach ein Vermittler nebst genügender Schulung und finanzieller Absicherung auch "seriös" sein müsse (AB 2004, N 378). Daraus ergibt sich, dass die Missbrauchsaufsicht durch die Vorinstanz in einem weiten Sinn zu verstehen ist und es sich bei Art. 185 Bst. c AVO um das prophylaktische Gegenstück zu Art. 46 Abs. 1 Bst. f VAG handelt. Art. 46 Abs. 1 Bst. f VAG bietet demnach eine genügende gesetzliche Grundlage, um auf dem Verordnungsweg sowohl präventive als auch nachträgliche Massnahmen zur Missbrauchsbekämpfung zu regeln.</w:t>
      </w:r>
    </w:p>
    <w:p>
      <w:r>
        <w:rPr>
          <w:b/>
        </w:rPr>
        <w:t>E. 2.4.3</w:t>
      </w:r>
    </w:p>
    <w:p>
      <w:r>
        <w:t>Vorerst muss deshalb die Frage gestellt werden, inwiefern durch die Tatsache, dass auf einen Gesuchsteller Verlustscheine lauten, eine Missbrauchsgefahr gegenüber Konsumenten bestehen könnte. Ein Versicherungsvermittler kann seine Klienten in Bezug auf die Auswahl einer passenden Police und entsprechende Angebote umfassend beraten. Die finanziellen Konsequenzen, welche ein potentieller Versicherungsnehmer durch den Abschluss eines Versicherungsvertrags auf sich nimmt, können folglich weitreichend sein. Dasselbe gilt für allfällige Auswirkungen eines Versicherungsvertrags auf den Versicherungsnehmer, sollte das Risiko, wofür die Versicherung abgeschlossen worden ist, eintreten. Die Verantwortung eines Versicherungsvermittlers gegenüber einem potentiellen Versicherungsnehmer ist somit gross. Damit eine seriöse Ausübung des Berufs gewährleistet ist, bedarf es einer Ausbildung des Vermittlers, wodurch sichergestellt wird, dass er die von ihm vertretenen Versicherungszweige sowie die davon gedeckten Risiken kennt. Weiter muss der Vermittler eine Haftpflichtversicherung abschliessen, damit allfällige Schäden, die den Versicherten durch die Vermittlung nicht geeigneter Verträge entstehen können, abgedeckt sind. Durch diese beiden Voraussetzungen, die für eine Registrierung verlangt werden, kann gegenüber den Versicherten zwar die fachliche Kompetenz sowie die finanzielle Absicherung im Haftungsfall garantiert werden, nicht aber eine allfällige Missbrauchsgefahr, die vom Vermittler ausgeht, ausgeschlossen werden. Wie oben ausgeführt, durchdringt das Ziel, Missbräuche in der Versicherungsbranche zu verhindern die gesamte Aufsichtsgesetzgebung und war anlässlich deren Revision eines der Hauptziele. Indem auf einen Versicherungsvermittler Verlustscheine lauten, kann dessen Integrität in Bezug auf sein Geschäftsgebahren u.U. in Frage gestellt werden. Je nach Grund für die Verlustscheine ist folglich eine allfällige Missbrauchsgefahr als erhöht anzusehen, da ein davon betroffener Versicherungsvermittler aufgrund seiner finanziellen Situation versucht sein könnte, Versicherungsnehmer zum Abschluss von Policen zu raten, welche diese nicht wollten bzw. nicht für nötig hielten, oder nicht den Abschluss den für den Versicherungsnehmer besten Police zu empfehlen, sondern für jene, welche die höchste Courtage oder anderweitige Entschädigung einbringt (zu den Missbrauchsgefahren durch unabhängige Vermittler: Alois Rimle, Abstimmung zwischen Aufsicht und Haftung im neuen Recht der Versicherungsvermittler, in: SZW 2005, S. 72 f.). Angesichts der Tatsache, dass die Vorinstanz zur Bekämpfung des Missbrauchs jene Massnahmen ergreifen kann, die ihr geeignet erscheinen (BBl 2003 3828), ist demnach ein prophylaktisches Eingreifen beim Bestehen von Verlustscheinen gemäss Art. 185 Bst. c AVO als mit der Aufsichtsgesetzgebung vereinbar anzusehen und vom Grundsatz der Missbrauchsbekämpfung in Art. 46 Abs. 1 Bst. f VAG gedeckt. In diesem Zusammenhang kann auch die Normendichte von Art. 46 Abs. 1 Bst. f VAG als genügend angesehen werden. Missbrauch kann in einer nicht überblickbaren Vielfalt von Ausprägungen vorkommen, weshalb die Aufsichtsbehörde die Möglichkeit haben muss, mit entsprechenden Mitteln dagegen vorzugehen. In Bezug auf Art. 185 Bst. c AVO kann festgehalten werden, dass lediglich ein kleiner Prozentsatz von Vermittlern von Verlustscheinen betroffen ist, weshalb eine sich allenfalls daraus ergebende Gefahr durch die allgemeine Missbrauchsklausel in Art. 46 Abs. 1 Bst. f VAG genügend präzise abgedeckt ist.</w:t>
      </w:r>
    </w:p>
    <w:p>
      <w:r>
        <w:rPr>
          <w:b/>
        </w:rPr>
        <w:t>E. 2.5</w:t>
      </w:r>
    </w:p>
    <w:p>
      <w:r>
        <w:t>Weiter stellt sich die Frage, ob die Einschränkung der Wirtschaftsfreiheit des Beschwerdeführers gemäss Art. 185 Bst. c AVO im öffentlichen Interesse liegt. Im öffentlichen Interesse liegen gemäss Lehre und Rechtsprechung ohne weiteres polizeiliche Interessen wie der Schutz der öffentlichen Ordnung, der Ruhe, Sicherheit, Gesundheit und Sittlichkeit, sowie von Treu und Glauben im Geschäftsverkehr (BGE 127 II 91 E. 4a mit Verweis auf weitere; Ehrenzeller/Mastronardi/Schweizer/Vallender, a.a.O., N. 19 zu Art. 36). Vorliegend liegt das öffentliche Interesse an einer vorgängigen Überprüfung von Verlustscheinen eines um Registrierung ersuchenden Vermittlers im Schutz von Treu und Glauben im Geschäftsverkehr gegenüber den Versicherungsnehmern. Durch die Prüfung, ob auf einen ungebundenen Versicherungsvermittler Verlustscheine lauten, soll sichergestellt werden, dass potentielle Klienten nur mit solchen Vermittlern Geschäfte machen, von denen voraussichtlich keine Missbrauchsgefahr ausgeht, da dies dem Grundsatz vom Treu und Glauben im Geschäftsverkehr abträglich wäre. Ein öffentliches Interesse an einer näheren Überprüfung bei Verlustscheinen ist somit ohne weiteres gegeben.</w:t>
      </w:r>
    </w:p>
    <w:p>
      <w:r>
        <w:rPr>
          <w:b/>
        </w:rPr>
        <w:t>E. 2.6</w:t>
      </w:r>
    </w:p>
    <w:p>
      <w:r>
        <w:t>Schliesslich ist zu ermitteln, ob die Voraussetzung der Verlustscheinsfreiheit gemäss Art. 185 Bst. c AVO bzw. die darauf basierende, weniger weitgehende Praxis der Vorinstanz als verhältnismässige Einschränkung der Wirtschaftsfreiheit des Beschwerdeführers anzusehen sind. Das Kriterium der Verhältnismässigkeit misst sich am Verhältnis des Grundrechtseingriffs zum Zweck der Regelung, der dem öffentlichen Interesse dienen muss. Im vorliegenden Fall bedeutet dies, dass eine Verweigerung der Registrierung ausschliesslich aus prophylaktischen Gründen der Missbrauchsbekämpfung im Rahmen von Art. 46 Abs. 1 Bst. f VAG erfolgen darf. Das erweist sich ohne weiteres als verhältnismässig.</w:t>
      </w:r>
    </w:p>
    <w:p>
      <w:r>
        <w:rPr>
          <w:b/>
        </w:rPr>
        <w:t>E. 2.6.1</w:t>
      </w:r>
    </w:p>
    <w:p>
      <w:r>
        <w:t>Der Wortlaut von Art. 185 Bst. c AVO schliesst eine Eintragung von Personen mit Verlustscheinen in das Register für Versicherungsvermittler ausnahmslos aus. Dadurch wird keinerlei Unterscheidung nach der Art, dem Alter und der Herkunft bzw. dem Grund der Verlustscheine gemacht. Während Verlustscheine durchaus von finanziell unseriösen oder gar ungesetzlichen Handlungen herrühren können, ist auf der anderen Seite eine ganze Reihe von Gründen für Verlustscheine denkbar, die für sich genommen weder auf die Unseriosität des Vermittlers schliessen lassen noch einen hinreichenden Verdacht auf zukünftigen Missbrauch gegenüber Klienten zu erwecken vermögen. Die Vorinstanz hat diesen Bedenken teilweise Rechnung getragen und eine Praxis entwickelt, welche eine Registrierung bei Verlustscheinen in der Höhe von bis zu Fr. 30'000.- zulässt, sofern sie nicht aus Abzahlungs- oder Leasinggeschäften stammen oder direkt mit der Tätigkeit als Versicherungsvermittler zusammenhängen. Vorliegend erweist sich die Voraussetzung von Art. 185 Bst. c AVO - nach ihrem klaren Wortlaut angewendet - als unzumutbar, da der Zweck des Eingriffs - unter Umständen - in einem völlig disproportionalen Verhältnis zur Wirkung auf den Versicherungsvermittler stehen kann, welcher durch die Verweigerung der Registrierung seinen Beruf nicht mehr ausüben darf. Dies ist insbesondere dann der Fall, wenn die auf den Versicherungsvermittler ausgestellten Verlustscheine weder an dessen finanzieller Seriosität zweifeln lassen noch eine Missbrauchsgefahr gegenüber Versicherungsnehmern darstellen. Würde unter solchen Umständen eine Registrierung verweigert, ginge die Anwendung von Art. 185 Bst. c AVO klar über die Delegationsnorm von Art. 46 Abs. 3 VAG und den Sinn und Zweck dieser Bestimmung hinaus. Dasselbe gilt für die Praxis der Vorinstanz. Art. 46 Abs. 1 Bst. f VAG gibt der Aufsichtsbehörde die Kompetenz zur Missbrauchsbekämpfung, welche, wie ausgeführt, auch präventiv erfolgen kann. Während mangelnde finanzielle Stabilität und Seriosität zwar einen Grund darstellen kann, auf Missbrauchsgefahr zu schliessen, ist eine konkrete Missbrauchsgefahr durch Verlustscheine allein aber noch nicht erstellt. Es ist nicht die Aufgabe der Vorinstanz, eine Registrierung zu verweigern, weil der Gesuchsteller verschuldet ist, selbst wenn Verlustscheine vorliegen. Vielmehr darf sie eine Registrierung aufgrund von Verlustscheinen im Rahmen von Art. 46 Abs. 1 Bst. f VAG nur dann verweigern, wenn sie eine konkrete Missbrauchsgefahr gegenüber Versicherungsnehmern dargelegt hat. Dem genügt die Praxis der Vorinstanz nicht, die Eintragung in das Register auch ohne Nachweis einer konkreten Missbrauchsgefahr zu verweigern.</w:t>
      </w:r>
    </w:p>
    <w:p>
      <w:r>
        <w:rPr>
          <w:b/>
        </w:rPr>
        <w:t>E. 2.6.2</w:t>
      </w:r>
    </w:p>
    <w:p>
      <w:r>
        <w:t>Um dem Erfordernis der Missbrauchsbekämpfung nachzukommen und gestützt darauf eine Registrierung zu verweigern, muss die Vorinstanz vielmehr eine umfassende Würdigung im konkreten Fall vornehmen. Basierend auf diese Würdigung hat sie zu entscheiden, ob die finanzielle Situation des jeweiligen Vermittlers die Annahme einer erhöhten Missbrauchsgefahr gegenüber Versicherungsnehmern zu begründen vermag. Dabei muss sie v.a. abklären, aus welchen Gründen die Verlustscheine entstanden sind. Verlustscheine, welche im Zusammenhang mit der beruflichen Tätigkeit des Vermittlers stehen oder von Finanz- oder Urkundendelikten herrühren, lassen eher auf eine Missbrauchsgefahr schliessen als andere. Ob eine solche Gefahr besteht, ist auch in diesen Fällen anhand der Würdigung der gesamten Umstände zu beantworten. Diese individuell-konkrete Rechtsanwendung ist durch die Praxis der Vorinstanz nicht gewährleistet. Die Maximalhöhe von Fr. 30'000.- ist starr und belässt keinen Beurteilungssspielraum. Ein solcher ist jedoch auszuschöpfen. Kommt die Vorinstanz gestützt darauf zum Schluss, dass die Eintragung zu verweigern ist, ist ein solcher Entscheid im Rahmen von Art. 29 Abs. 2 BV und Art. 35 Abs. 1 VwVG hinreichend zu begründen.</w:t>
      </w:r>
    </w:p>
    <w:p>
      <w:r>
        <w:rPr>
          <w:b/>
        </w:rPr>
        <w:t>E. 2.7</w:t>
      </w:r>
    </w:p>
    <w:p>
      <w:r>
        <w:t>In vorliegendem Fall hat die Vorinstanz die konkreten Umstände des Beschwerdeführers nicht geprüft und seinen Eintrag allein gestützt auf die Tatsache verweigert, dass gegen ihn Verlustscheine bestehen, die sich auf mehr als Fr. 30'000.- belaufen. Die angefochtene Verfügung ist aus diesem Grunde aufzuheben.</w:t>
      </w:r>
    </w:p>
    <w:p>
      <w:r>
        <w:rPr>
          <w:b/>
        </w:rPr>
        <w:t>E. 3</w:t>
      </w:r>
    </w:p>
    <w:p>
      <w:r>
        <w:t>Bei diesem Ausgang des Verfahrens bleibt zu entscheiden, ob die Sache unter Aufhebung der angefochtenen Verfügung zu einem erneuten Entscheid an die Vorinstanz zurückgewiesen wird, oder ob das Bundesverwaltungsgericht in der Sache selbst entscheiden kann. Der Beschwerdeführer beantragt, sowohl er als auch die C._______GmbH seien in das Register für Versicherungsvermittler aufzunehmen. Das Bundesverwaltungsgericht kann nur in jenen Fällen in der Sache selbst entscheiden, in denen die Vorinstanz die für einen Sachentscheid nötigen Abwägungen, Prüfungen und Gewichtungen vorgenommen hat. In der angefochtenen Verfügung bzw. der Vernehmlassung hat die Vorinstanz die Registrierung allein aufgrund der Höhe der Verlustscheine verweigert. Sie ist dadurch ihrer Pflicht zu einer vertieften Abklärung der Umstände nicht nachgekommen. Zudem hat sie sich nicht zu den anderen Voraussetzungen gemäss Art. 44 VAG geäussert. Da sich das erkennende Gericht demnach nicht auf eine umfassende Begründung bzw. Evaluation des Gesuchs durch die Vorinstanz stützen könnte, kann ein Sachentscheid schon aufgrund mangelnder Entscheidgrundlagen nicht gefällt werden. Dem Rechtsbegehren des Beschwerdeführers um Eintragung seiner Person sowie der C._______GmbH kann aus diesen Gründen nicht gefolgt werden. Daher ist die Beschwerde teilweise gutzuheissen, die angefochtene Verfügung aufzuheben und die Sache im Sinn der Erwägungen zur Neubeurteilung an die Vorinstanz zurückzuweisen. Soweit der Beschwerdeführer reformatorische Anträge stellt, ist die Beschwerde abzuweisen.</w:t>
      </w:r>
    </w:p>
    <w:p>
      <w:r>
        <w:rPr>
          <w:b/>
        </w:rPr>
        <w:t>E. 4</w:t>
      </w:r>
    </w:p>
    <w:p>
      <w:r>
        <w:t>Bei diesem Verfahrensausgang ist der Beschwerdeführer als im Wesentlichen obsiegende Partei zu betrachten. Verfahrenskosten sind ihm nur soweit aufzuerlegen als er unterliegt (Art. 63 Abs. 1 VwVG). Dies liegt in Bezug auf das Gesuch um unentgeltliche Rechtspflege vor, welches mit Zwischenverfügung vom 30. Mai 2007 abgewiesen wurde. Die Verfahrenskosten für die Zwischenverfügung werden auf Fr. 300.- festgesetzt. Diese werden mit dem am 22. Juni 2007 geleisteten Kostenvorschuss von Fr. 1'100.- verrechnet. Der Restbetrag von Fr. 800.- ist ihm nach Rechtskraft des Urteils zurückzuerstatten. Eine Parteientschädigung ist nicht zuzusprechen (Art. 64 Abs.1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