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B-1519/2019 vom 16. April 2019</w:t>
      </w:r>
    </w:p>
    <w:p>
      <w:r>
        <w:t>Bundesverwaltungsgericht, 2019-04-16, DE</w:t>
      </w:r>
    </w:p>
    <w:p>
      <w:r>
        <w:rPr>
          <w:b/>
        </w:rPr>
        <w:t xml:space="preserve">Quelle: </w:t>
      </w:r>
      <w:r>
        <w:t>https://mcp.opencaselaw.ch/entscheid/bvger_B-1519_2019</w:t>
      </w:r>
    </w:p>
    <w:p>
      <w:r>
        <w:t>FR: TAF B-1519/2019 du 16 avril 2019</w:t>
      </w:r>
    </w:p>
    <w:p>
      <w:r>
        <w:t>IT: TAF B-1519/2019 del 16 aprile 2019</w:t>
      </w:r>
    </w:p>
    <w:p>
      <w:pPr>
        <w:pStyle w:val="Heading2"/>
      </w:pPr>
      <w:r>
        <w:t>Regeste</w:t>
      </w:r>
    </w:p>
    <w:p>
      <w:r>
        <w:t>Direktzahlungen und Ökobeiträge</w:t>
      </w:r>
    </w:p>
    <w:p>
      <w:pPr>
        <w:pStyle w:val="Heading2"/>
      </w:pPr>
      <w:r>
        <w:t>Erwägungen</w:t>
      </w:r>
    </w:p>
    <w:p>
      <w:r>
        <w:rPr>
          <w:b/>
        </w:rPr>
        <w:t>E. 1</w:t>
      </w:r>
    </w:p>
    <w:p>
      <w:r>
        <w:t>Die Beschwerde wird gutgeheissen und Ziffer 2 des Zwischenentscheids der Vorinstanz vom 18. Januar 2019 wird aufgehoben. Die Vorinstanz wird im Sinne der Erwägungen angewiesen, der Beschwerdeführerin für das am 23. März 2018 bei ihr anhängig gemachte kantonale Rekursverfahren die unentgeltliche Rechtsverbeiständung zu erteilen.</w:t>
      </w:r>
    </w:p>
    <w:p>
      <w:r>
        <w:rPr>
          <w:b/>
        </w:rPr>
        <w:t>E. 2</w:t>
      </w:r>
    </w:p>
    <w:p>
      <w:r>
        <w:t>Es werden keine Verfahrenskosten erhoben.</w:t>
      </w:r>
    </w:p>
    <w:p>
      <w:r>
        <w:rPr>
          <w:b/>
        </w:rPr>
        <w:t>E. 3</w:t>
      </w:r>
    </w:p>
    <w:p>
      <w:r>
        <w:t>Es wird keine Parteientschädigung gesprochen.</w:t>
      </w:r>
    </w:p>
    <w:p>
      <w:r>
        <w:rPr>
          <w:b/>
        </w:rPr>
        <w:t>E. 4</w:t>
      </w:r>
    </w:p>
    <w:p>
      <w:r>
        <w:t>Dieses Urteil geht an: - die Beschwerdeführerin (Gerichtsurkunde; Beilage: Doppel der Eingabe der Vorinstanz vom 5. April 2019); - die Vorinstanz ([...]; Gerichtsurkunde); - die Erstinstanz (Gerichtsurkunde; Beilage: Doppel der Eingabe der Vorinstanz vom 5. April 2019). Für die Rechtsmittelbelehrung wird auf die nächste Seite verwiesen. Der vorsitzende Richter: Die Gerichtsschreiberin: Stephan Breitenmoser Julia Haas Rechtsmittelbelehrung: Gegen diesen Entscheid kann innert 30 Tage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23.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