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B-149/2017 vom 24. Oktober 2017</w:t>
      </w:r>
    </w:p>
    <w:p>
      <w:r>
        <w:t>Bundesverwaltungsgericht, 2017-10-24, DE</w:t>
      </w:r>
    </w:p>
    <w:p>
      <w:r>
        <w:rPr>
          <w:b/>
        </w:rPr>
        <w:t xml:space="preserve">Quelle: </w:t>
      </w:r>
      <w:r>
        <w:t>https://mcp.opencaselaw.ch/entscheid/bvger_B-149_2017</w:t>
      </w:r>
    </w:p>
    <w:p>
      <w:r>
        <w:t>FR: TAF B-149/2017 du 24 octobre 2017</w:t>
      </w:r>
    </w:p>
    <w:p>
      <w:r>
        <w:t>IT: TAF B-149/2017 del 24 ottobre 2017</w:t>
      </w:r>
    </w:p>
    <w:p>
      <w:pPr>
        <w:pStyle w:val="Heading2"/>
      </w:pPr>
      <w:r>
        <w:t>Regeste</w:t>
      </w:r>
    </w:p>
    <w:p>
      <w:r>
        <w:t>Verfahrensfragen, Publikationen, usw.</w:t>
      </w:r>
    </w:p>
    <w:p>
      <w:pPr>
        <w:pStyle w:val="Heading2"/>
      </w:pPr>
      <w:r>
        <w:t>Erwägungen</w:t>
      </w:r>
    </w:p>
    <w:p>
      <w:r>
        <w:rPr>
          <w:b/>
        </w:rPr>
        <w:t>E. 1.1</w:t>
      </w:r>
    </w:p>
    <w:p>
      <w:r>
        <w:t>Das Bundesverwaltungsgericht ist zur Beurteilung der vorliegenden Beschwerde zuständig (Art. 31 f. sowie Art. 33 Bst. f VGG). Die Beschwerdeführerin ist als Adressatin der Verfügung zur Beschwerdeführung legitimiert (Art. 48 Abs. 1 VwVG), hat den Kostenvorschuss fristgerecht bezahlt (Art. 63 Abs. 4 VwVG) und die Beschwerde frist- und formgerecht eingereicht (Art. 50 und 52 Abs. 1 VwVG). Auf die Beschwerde ist insoweit einzutreten.</w:t>
      </w:r>
    </w:p>
    <w:p>
      <w:r>
        <w:rPr>
          <w:b/>
        </w:rPr>
        <w:t>E. 1.2</w:t>
      </w:r>
    </w:p>
    <w:p>
      <w:r>
        <w:t>Soweit die Beschwerdeführerin die Feststellung beantragt, dass die Vorinstanz die aufschiebende Wirkung willkürlich entzogen habe, stellt sie ein unzulässiges Begehren. Wird die aufschiebende Wirkung willkürlich entzogen, so haftet für den daraus entstandenen Schaden die Körperschaft, in deren Namen die Behörde verfügt hat (Art. 55 Abs. 4 VwVG). Diese Rechtsnorm statuiert einen besonderen Staatshaftungstatbestand für einen Schaden (vgl. Hansjörg Seiler in: Waldmann/Weissenberger [Hrsg.], Praxiskommentar VwVG, 2. Aufl. 2016, Rz 162 zu Art. 55). Mit anderen Worten besteht die Möglichkeit eines Leistungsbegehrens. Ein Feststellungsbegehren ist aufgrund der Subsidiarität solcher Begehren unzulässig. Auf die Beschwerde ist insoweit nicht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Die Beschwerdeführerin erwähnt verschiedene Rechtsgehalte (Devolutiv-effekt, Vertrauensgrundsatz, Rechtsgleichheit, Persönlichkeitsrecht und Wirtschaftsfreiheit), ohne auch nur ansatzweise eine Rechtsverletzung darzulegen. So beruft sie sich auf den Devolutiveffekt der Beschwerde gegen die Sanktionsverfügung, die nicht Gegenstand des vorliegenden Verfahrens ist, weshalb der Devolutiveffekt nicht zur Diskussion gestellt werden kann. Sodann bezieht sie sich unter Berufung auf den Vertrauensgrundsatz auf das tatsächliche Verwaltungshandeln der Vorinstanz. Dieses war Gegenstand im Beschwerdeverfahren B-7295/2016, das durch den Erlass der Publikationsverfügung gegenstandslos geworden ist, weshalb das Vorbringen hier nicht zu hören ist. Soweit sie das Rechtsgleichheitsgebot über Art. 34 Abs. 1 FINMAG ins Spiel bringen will, verkennt sie den Anwendungsbereich der Rechtsnorm, weshalb darauf nicht einzugehen ist. Schliesslich bringt sie einen Eingriff in das Persönlichkeitsrecht und die Wirtschaftsfreiheit im Zusammenhang mit dem Verhältnismässigkeitsgrundsatz vor. Dass und inwiefern diese Rechtspositionen verletzt sein könnten, legt sie mit keinem Wort dar und ist auch nicht ersichtlich.</w:t>
      </w:r>
    </w:p>
    <w:p>
      <w:r>
        <w:rPr>
          <w:b/>
        </w:rPr>
        <w:t>E. 4.1</w:t>
      </w:r>
    </w:p>
    <w:p>
      <w:r>
        <w:t>Die Beschwerdeführerin rügt eine Gehörsverletzung. Gemäss Art. 29 VwVG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(BGE 142 I 86 E. 2.2). Die Rüge wird nicht näher begründet. Die Beschwerdeführerin bezieht sich offenbar auf das tatsächliche Verhaltungshandeln, wenn sie ausführt, dass die Verfügung einfach aufgeschaltet worden sei. Insoweit fehlt es am Bezug zum Streitgegenstand des vorliegenden Beschwerdeverfahrens (E. 3). Dass und inwieweit der Anspruch auf rechtliches Gehör im Verfahren betreffend Erlass einer Publikationsverfügung verletzt sein soll, substantiiert sie mit keinem Wort und ist auch nicht ersichtlich.</w:t>
      </w:r>
    </w:p>
    <w:p>
      <w:r>
        <w:rPr>
          <w:b/>
        </w:rPr>
        <w:t>E. 4.2</w:t>
      </w:r>
    </w:p>
    <w:p>
      <w:r>
        <w:t>Die Beschwerdeführerin rügt die Unschuldsvermutung als verletzt. Gemäss Art. 32 Abs. 1 BV gilt jede Person bis zur rechtskräftigen Verurteilung als unschuldig. Den gleichen Gehalt hat die Unschuldsvermutung nach der EMRK (Art. 6 Ziff. 2 EMRK). Danach gilt jede Person, die einer Straftat angeklagt ist, bis zum gesetzlichen Beweis ihrer Schuld als unschuldig. Diese Rechtsnorm hat aber einen anderen Anwendungsbereich. Eine strafrechtliche Anklage im Sinne von Art. 6 Ziff. 1 EMRK liegt vor, wenn entweder das nationale Recht eine staatliche Massnahme dem Strafrecht zuordnet oder wenn die Natur des Vergehens oder die Art und Schwere des Vergehens und/oder der Sanktionen für den strafrechtlichen Charakter spricht (so genannte Engel-Kriterien, zurückgehend auf das Urteil des EGMR Engel gegen Niederlande vom 8. Juni 1976, Serie A Bd. 22). Das Bundesgericht führte im Urteil 2C_1065/2014 vom 26. Mai 2014 E. 8 (nicht publizierte Erwägung des Nikon-Urteils) aus, die Publikation der Sanktionsverfügung vor Rechtskraft verletze die Unschuldsvermutung nicht. Art. 6 Abs. 2 EMRK verbiete den staatlichen Behörden nicht, die Öffentlichkeit über laufende strafrechtliche Untersuchungen und Verfahren zu informieren. Dies gelte umso mehr, als es sich hier lediglich um einen strafrechtsähnlichen Fall handle. Das Interesse der Beschwerdeführerin, dass nicht über deren Handeln informiert werde, verdiene weniger Schutz als die gewichtigen Interessen der Öffentlichkeit (vgl. dazu unten E. 5.4). Die Beschwerdeführerin substantiiert nicht, inwieweit die Unschuldsvermutung im vorliegenden Fall verletzt sein soll. Solches lässt sich im Lichte der bundesgerichtlichen Rechtsprechung auch nicht annehmen.</w:t>
      </w:r>
    </w:p>
    <w:p>
      <w:r>
        <w:rPr>
          <w:b/>
        </w:rPr>
        <w:t>E. 5.1</w:t>
      </w:r>
    </w:p>
    <w:p>
      <w:r>
        <w:t>Gemäss Art. 48 KG (Veröffentlichung von Entscheiden und Urteilen) können die Wettbewerbsbehörden ihre Entscheide veröffentlichen (Abs.1). Die Gerichte stellen dem Sekretariat die Urteile, die in Anwendung dieses Gesetzes gefällt werden, unaufgefordert und in vollständiger Abschrift zu. Das Sekretariat sammelt diese Urteile und kann sie periodisch veröffentlichen (Abs. 2).</w:t>
      </w:r>
    </w:p>
    <w:p>
      <w:r>
        <w:rPr>
          <w:b/>
        </w:rPr>
        <w:t>E. 5.2</w:t>
      </w:r>
    </w:p>
    <w:p>
      <w:r>
        <w:t>Das Bundesgericht hat Sinn und Zweck der Veröffentlichung von Entscheiden der Wettbewerbsbehörden in BGE 142 II 268 näher bestimmt. Die Entscheide, die im Sinne der genannten Bestimmung veröffentlicht werden können, sind unter anderem, wie hier, Sanktionsverfügungen nach Art. 49a Abs. 1 KG. Sofern ein genügendes Interesse an der Veröffentlichung besteht, sind die Entscheide zu veröffentlichen (BGE 142 II 268 E. 4.2.2).</w:t>
      </w:r>
    </w:p>
    <w:p>
      <w:r>
        <w:rPr>
          <w:b/>
        </w:rPr>
        <w:t>E. 5.3</w:t>
      </w:r>
    </w:p>
    <w:p>
      <w:r>
        <w:t>Die Veröffentlichung von Entscheiden wird dem Ermessen der Wettbewerbsbehörden anheimgestellt. Die Handhabung dieses Ermessens ist eine Frage der Angemessenheit. Angemessenheit ist definiert als die den Umständen angepasste Lösung im rechtlich nicht normierten Handlungsspielraum oder als Zweckmässigkeit bzw. Opportunität. Die Frage der Angemessenheit stellt sich nur dort, wo das Recht - selbst der Verhältnismässigkeitsgrundsatz - als Regulativ nicht mehr hinkommt.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Dazu gehört eine unverhältnismässige Handhabung des Ermessens (BGE 142 II 268 E. 4.2.3).</w:t>
      </w:r>
    </w:p>
    <w:p>
      <w:r>
        <w:rPr>
          <w:b/>
        </w:rPr>
        <w:t>E. 5.4</w:t>
      </w:r>
    </w:p>
    <w:p>
      <w:r>
        <w:t>Die Bestimmung von Art. 48 Abs. 1 KG weicht vom allgemeinen Grundsatz der Nichtveröffentlichung ab, indem sie vorsieht, dass die Verfügungen der Wettbewerbsbehörden nicht nur den Parteien eröffnet werden, sondern auch veröffentlicht werden können (BGE 142 II 268 E. 4.2.4). Der Grund dafür, dass die Veröffentlichung der Verfügungen erfolgen kann (und bei genügendem Interesse erfolgen soll), liegt in den damit verfolgten Zwecken des Kartellgesetzes (BGE 142 II 268 E. 4.2.5): -Prävention und Rechtssicherheit: Die Entscheide haben Einfluss auf das Wirtschaften der Unternehmen, die sich daran orientieren können sollen (E. 4.2.5.1). -Transparenz der Verwaltungsaktivitäten: Die Öffentlichkeit soll sich über die Rechtsanwendung und Rechtsortentwicklung ein Bild machen können und die Möglichkeit erhalten, den bei der Untersuchungseröffnung erhobene Vorwurf mit dem begründeten Resultat abzugleichen (E. 4.2.5.2). -Information über die Praxis der Wettbewerbsbehörden: Adressaten der Praxisinformation sind insbesondere die weiteren das Kartellrecht anwendenden Behörden (E. 4.2.5.3). Sinn und Zweck der Veröffentlichung von Verfügungen der Wettbewerbsbehörden decken sich im Wesentlichen mit Sinn und Zweck der Publikation gerichtlicher Entscheide. Die Parallelität wird als notwendig erachtet, um volkswirtschaftlich oder sozial schädliche Auswirkungen von Kartellen und anderen Wettbewerbsbeschränkungen zu verhindern und somit wirksamen Wettbewerb verwirklichen zu können. Dabei wird in Kauf genommen, dass publizierte Verfügungen in einem späteren Verfahrensstadium auch aufgehoben oder korrigiert werden können (BGE 142 II 268 E. 4.2.5.4).</w:t>
      </w:r>
    </w:p>
    <w:p>
      <w:r>
        <w:rPr>
          <w:b/>
        </w:rPr>
        <w:t>E. 5.5</w:t>
      </w:r>
    </w:p>
    <w:p>
      <w:r>
        <w:t>Der Gegenstand der Veröffentlichung betrifft nur ganze Entscheide, nicht einzelnen Passagen. Hat die Behörde ihren Ermessensspielraum in Bezug auf die Publikation einer Verfügung insgesamt angemessen ausgeübt, so bleiben dem Einzelnen nur die gesetzlich vorgesehenen Möglichkeiten, um sicherzustellen, dass die Verfügung rechtskonform publiziert wird, wozu der Schutz des Geschäftsgeheimnisses gehört (BGE 142 II 268 E. 4.2.6).</w:t>
      </w:r>
    </w:p>
    <w:p>
      <w:r>
        <w:rPr>
          <w:b/>
        </w:rPr>
        <w:t>E. 6.1</w:t>
      </w:r>
    </w:p>
    <w:p>
      <w:r>
        <w:t>Die Beschwerdeführerin macht geltend, die Publikation sei nicht nur unangemessen, sondern rechtswidrig, weil kein öffentliches Interesse an der Publikation vor Eintritt der Rechtskraft bestehe.</w:t>
      </w:r>
    </w:p>
    <w:p>
      <w:r>
        <w:rPr>
          <w:b/>
        </w:rPr>
        <w:t>E. 6.1.1</w:t>
      </w:r>
    </w:p>
    <w:p>
      <w:r>
        <w:t>Wie sich aus dem Wortlaut von Art. 48 Abs. 1 KG ergibt ("kann"), wird den Wettbewerbsbehörden beim Entscheid über die Veröffentlichung als solche ein Ermessen eingeräumt. Das Ermessen ist pflichtgemäss auszuüben; pflichtwidrig erfolgt die Ermessensausübung, wenn die Veröffentlichung von der gesetzlichen Ordnung des Kartellgesetzes nicht gedeckt ist oder sonst wie Recht verletzt. Rechtsverletzende Formen sind Unterschreitung, Überschreitung und Missbrauch des Ermessens. Eine Ermessensunterschreitung liegt vor, wenn die Behörde von vornherein verzichtet, das ihr zustehende Ermessen auszuüben. Eine Ermessenüberschreitung besteht, wenn sie Anordnungen trifft, die durch den Ermessensspielraum nicht gedeckt sind. Ein Ermessensmissbrauch ist anzunehmen, wenn sie sich von sachfremden Überlegungen bei der Ermessensausübung leiten lässt. Die rechtsfehlerhafte Ausübung des Ermessens unterscheidet sich von der Unangemessenheit, die vorliegt, wenn die Anordnung zwar unzweckmässig ausfällt, aber nicht zweckwidrig ist (Häfelin/Müller/Uhlmann, Allgemeines Verwaltungsrecht, 7. Aufl. 2016, Rz. 430 ff. m.w.H.).</w:t>
      </w:r>
    </w:p>
    <w:p>
      <w:r>
        <w:rPr>
          <w:b/>
        </w:rPr>
        <w:t>E. 6.1.2</w:t>
      </w:r>
    </w:p>
    <w:p>
      <w:r>
        <w:t>Wohl trifft zu, dass nicht jede Veröffentlichung einer Verfügung der Wettbewerbsbehörde mit dem Zweck der kartellrechtlichen Gesetzesbestimmung übereinstimmt. Insoweit sind Veröffentlichungen nicht generell durch die gesetzliche Ordnung gedeckt. Die Behörde hat ihren Entscheid im Einzelfall zu begründen. Im hier zu beurteilenden Fall hat die Vorinstanz ihr Ermessen aber angemessen ausgeübt und in Übereinstimmung mit den gesetzlichen Zwecken begründet, weshalb ein genügendes Interesse an der Veröffentlichung besteht. So führt sie in der angefochtenen Verfügung aus, dass mit der Sanktionsverfügung eine Grundsatzfrage zu den Bruttopreisen entschieden worden sei und es zu diesem Thema keine höchstrichterliche Rechtsprechung gebe. Sie habe ihren Standpunkt im Verfahren ausführlich dargelegt und wolle die Allgemeinheit informieren, damit sich die betroffenen Wirtschaftsteilnehmer wettbewerbskonform verhalten könnten. Auch die kantonalen Gerichte und Behörden sowie die Bundesbehörden sollen die Praxis schnellstmöglich nachvollziehen können. Daraus ergebe sich ein grosses öffentliches Interesse an der Veröffentlichung der Sanktionsverfügung. Diese Erwägungen sind durch die mit der Veröffentlichung verfolgten Zwecke gedeckt. Die Vorinstanz begründet ihren Entscheid im Rahmen der kartellgesetzlichen Ordnung mit der präventiven Orientierung, dem Öffentlichkeitsgrundsatz und der Informationsfunktion für Verwaltungs- und Verwaltungsgerichtsbehörden. Sie hat das ihr zustehenden Ermessen angemessen ausgeübt.</w:t>
      </w:r>
    </w:p>
    <w:p>
      <w:r>
        <w:rPr>
          <w:b/>
        </w:rPr>
        <w:t>E. 6.1.3</w:t>
      </w:r>
    </w:p>
    <w:p>
      <w:r>
        <w:t>Aus dem Hinweis auf Art. 34 Abs. 1 FINMAG kann die Beschwerdeführerin nichts zu ihren Gunsten ableiten. Die Rechtsnorm ist nicht anwendbar. Massgebend ist die gesetzliche Ordnung des Kartellgesetzes.</w:t>
      </w:r>
    </w:p>
    <w:p>
      <w:r>
        <w:rPr>
          <w:b/>
        </w:rPr>
        <w:t>E. 6.2</w:t>
      </w:r>
    </w:p>
    <w:p>
      <w:r>
        <w:t>Die Beschwerdeführerin macht geltend, die Publikationsverfügung sei unverhältnismässig.</w:t>
      </w:r>
    </w:p>
    <w:p>
      <w:r>
        <w:rPr>
          <w:b/>
        </w:rPr>
        <w:t>E. 6.2.1</w:t>
      </w:r>
    </w:p>
    <w:p>
      <w:r>
        <w:t>Gemäss Art. 5 Abs. 2 BV muss staatliches Handeln im öffentlichen Interesse liegen und verhältnismässig sein. Die Verhältnismässigkeit verlangt, dass das Handeln einer Behörde mit Blick auf den angestrebten Zweck geeignet, erforderlich und zumutbar ist. Die Zumutbarkeit ist eine Zweck / Mittel-Relation. Sie besteht, wenn nach vergleichender Abwägung das öffentliche Interesse das entgegenstehende private Interesse überwiegt (Häfelin/Müller/Uhlmann, a.a.O., Rz. 514 ff. m.w.H.).</w:t>
      </w:r>
    </w:p>
    <w:p>
      <w:r>
        <w:rPr>
          <w:b/>
        </w:rPr>
        <w:t>E. 6.2.2</w:t>
      </w:r>
    </w:p>
    <w:p>
      <w:r>
        <w:t>Das Bundesgericht hält in BGE 142 II 268 fest, dass die Verfügungen zu veröffentlichen sind, sofern ein genügendes Interesse besteht (E. 4.2.2). Der Entscheid über die Veröffentlichung wird als Ermessen, die Handhabung dieses Ermessens als Frage der Angemessenheit qualifiziert; die Frage der Angemessenheit stellt sich nur dort, wo das Recht - selbst der Verhältnismässigkeitsgrundsatz - als Regulativ nicht mehr hinkommt (E. 4.2.3). Hat die Behörde ihren Ermessensspielraum in Bezug auf die Publikation einer Verfügung insgesamt angemessen ausgeübt, so bleiben dem Einzelnen dementsprechend nur die gesetzlich vorgesehenen Möglichkeiten, um sicherzustellen, dass die Verfügung rechtskonform publiziert wird (E. 4.2.6). Die unverhältnismässige (aber nicht die bloss unangemessene) Ausübung des Ermessens gehört zur rechtsverletzenden Form des Ermessensmissbrauchs (Tschannen/Zimmerli/Müller, Allgemeines Verwaltungsrecht, 4. Aufl. 2014, § 26 N 18).</w:t>
      </w:r>
    </w:p>
    <w:p>
      <w:r>
        <w:rPr>
          <w:b/>
        </w:rPr>
        <w:t>E. 6.2.3</w:t>
      </w:r>
    </w:p>
    <w:p>
      <w:r>
        <w:t>Die Vorinstanz hat ihr Ermessen in Übereinstimmung mit der kartellgesetzlichen Ordnung insgesamt angemessen ausgeübt (oben E. 5.1). Die Verhältnismässigkeitsprüfung, wie sie die Beschwerdeführerin verlangt, führt zu keinem anderen Ergebnis. Die Veröffentlichung ist vorliegend geeignet, erforderlich und zumutbar. Sie ist zur Zweckerreichung geeignet, weil die Veröffentlichung im Sinne einer Warnpraxis das Wettbewerbsverhalten beeinflusst, das Verwaltungshandeln öffentlich macht sowie die Behörden über die Entscheidung informiert. Das vorliegende Beschwerdeverfahren hat nur die Publikationsverfügung zum Gegenstand, nicht den Inhalt der Sanktionsverfügung. Dass diese nicht rechtskräftig ist, ändert nichts daran, dass ihre Veröffentlichung geeignet ist, die Unternehmen und die weiteren Adressatenkreise zu informieren. Dabei nimmt das Gesetz in Kauf, dass die Sanktionsverfügung in einem späteren Verfahrensschritt geändert oder aufgehoben werden kann (BGE 142 II 268 E. 4.2.5.4 a.E.). Die Veröffentlichung ist sodann erforderlich. Entgegen der Beschwerdeführerin sind die Veröffentlichungszwecke durch die Medienmitteilungen und den Presserohstoff nicht erreicht. Der Zweck, die Verwaltungsbehörden zu informieren, lässt sich über Medienberichte überhaupt nicht erreichen, denn das fachkundige Publikum ist darauf angewiesen, die Verfügung als Ganzes zur Kenntnis nehmen zu können. Die Beschwerdeführerin kann deshalb aus den Beweismitteln (Medienmitteilung und Presserohstoff vom [...]) nichts zu ihren Gunsten ableiten. Die Veröffentlichung ist schliesslich zumutbar. Das öffentliche Interesse überwiegt das private Interesse der Beschwerdeführerin, einen allfälligen Reputationsschaden zu vermeiden. Dem Privatinteresse wird ausreichend Rechnung getragen dadurch, dass für jedermann ersichtlich ist, dass die Sanktionsverfügung noch nicht in Rechtskraft erwachsen ist. Würde man die Zumutbarkeit wegen der damit verbundenen Publizität verneinen, wären Publikationsverfügungen überhaupt nicht mehr möglich, was mit dem Kartellgesetz unvereinbar wäre. Ob der Verhältnismässigkeitsgrundsatz die Ermessensausübung in Bezug auf die Veröffentlichung als solche überhaupt zu regulieren vermag, kann offen bleiben, weil sie vorliegend verhältnismässig ist.</w:t>
      </w:r>
    </w:p>
    <w:p>
      <w:r>
        <w:rPr>
          <w:b/>
        </w:rPr>
        <w:t>E. 6.3</w:t>
      </w:r>
    </w:p>
    <w:p>
      <w:r>
        <w:t>Die Beschwerdeführerin macht geltend, erst nachdem über die Publikation im Grundsatz entschieden worden sei, könne über die Schwärzung von Geschäftsgeheimnissen allenfalls diskutiert werden.</w:t>
      </w:r>
    </w:p>
    <w:p>
      <w:r>
        <w:rPr>
          <w:b/>
        </w:rPr>
        <w:t>E. 6.3.1</w:t>
      </w:r>
    </w:p>
    <w:p>
      <w:r>
        <w:t>Die Vorinstanz machte die Beschwerdeführerin erstmals mit Schreiben vom 10. Mai 2016 darauf aufmerksam, dass sie beabsichtige, die Sanktionsverfügung vom (...) zu publizieren. Das Schreiben enthält einen Hyperlink. Die Vorinstanz hielt fest, dass die Beschwerdeführerin die zur Publikation vorgesehene Version, die vom Sekretariat der WEKO bereits um die Geschäftsgeheimnisse bereinigt worden sei, unter diesem Hyperlink konsultieren könne. Die Vorinstanz gab ihr die Möglichkeit, allfällige Schwärzungsanträge zu stellen. Die Beschwerdeführerin teilte der Vor-instanz mit Schreiben vom 9. Juni 2016 mit, die zur Publikation vorgesehene Version der Sanktionsverfügung enthalte noch Geschäftsgeheimnisse, ohne jedoch solche zu bezeichnen. Mit Schreiben vom 4. Juli 2016 gab die Vorinstanz ihr erneut Gelegenheit, Schwärzungsanträge zu stellen. Mit Eingabe vom 22. August 2016 wiederholte die Beschwerdeführerin, dass die Publikationsversion noch Geschäftsgeheimnisse aufweise und zuerst über die Publikation als solches entschieden werden müsse.</w:t>
      </w:r>
    </w:p>
    <w:p>
      <w:r>
        <w:rPr>
          <w:b/>
        </w:rPr>
        <w:t>E. 6.3.2</w:t>
      </w:r>
    </w:p>
    <w:p>
      <w:r>
        <w:t>Die Beschwerdeführerin trifft keine Pflicht, an der Bezeichnung allfälliger Geschäftsgeheimnisse mitzuwirken. Weder hat sie das vorinstanzliche Verfahren durch ein Begehren eingeleitet noch darin selbständige Begehren gestellt (Art. 13 Abs. 1 VwVG). Entgegen ihrer Auffassung ist der Verfahrensökonomie keineswegs zuträglich, wenn über die Publikation als solche und über die strittigen Publikationspassagen in zwei verschiedenen Verfügungen entschieden werden müsste. Ob das Verhalten auf eine Verzögerung des Verfahrens abzielt, kann letztlich offen bleiben. Denn der allgemeine Vorbehalt, die Verfügung sei nicht um alle Geschäftsgeheimnisse bereinigt, ist jedenfalls nicht geeignet, das Verfahren aufzuhalten. Die Beschwerdeführerin hat das Recht, an der Sachverhaltsfeststellung mitzuwirken. Dieses Recht ist verzichtbar. Wer trotz mehrfacher Aufforderung keine Anträge stellt und keine Geschäftsgeheimnisse näher bezeichnet, bringt zum Ausdruck, dass er keine rechtserheblichen Vorbringen mehr tätigen will. Das gilt unabhängig davon, ob der Geheimnisherr die Tatsachen nicht geheim halten will, kein berechtigtes Geheimhaltungsinteresse hat oder sich im Verfahren nicht mehr einbringen will.</w:t>
      </w:r>
    </w:p>
    <w:p>
      <w:r>
        <w:rPr>
          <w:b/>
        </w:rPr>
        <w:t>E. 7</w:t>
      </w:r>
    </w:p>
    <w:p>
      <w:r>
        <w:t>Aus diesen Erwägungen ergibt sich, dass die angefochtene Verfügung Bundesrecht nicht verletzt und auch sonst nicht zu beanstanden ist (Art. 49 VwVG). Die Beschwerde ist abzuweisen, soweit darauf einzutreten ist.</w:t>
      </w:r>
    </w:p>
    <w:p>
      <w:r>
        <w:rPr>
          <w:b/>
        </w:rPr>
        <w:t>E. 8</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1'500.- festzusetzen. Der einbezahlte Kostenvorschuss wird zur Bezahlung der Verfahrenskosten verwendet. Der Beschwerdeführerin ist keine Parteientschädigung zuzusprechen, auch nicht für prozessuale Zwischenschritte, zumal sie vollständig unterliegt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