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B-148/2020 vom 10. Dezember 2020</w:t>
      </w:r>
    </w:p>
    <w:p>
      <w:r>
        <w:t>Bundesverwaltungsgericht, 2020-12-10, DE</w:t>
      </w:r>
    </w:p>
    <w:p>
      <w:r>
        <w:rPr>
          <w:b/>
        </w:rPr>
        <w:t xml:space="preserve">Quelle: </w:t>
      </w:r>
      <w:r>
        <w:t>https://mcp.opencaselaw.ch/entscheid/bvger_B-148_2020</w:t>
      </w:r>
    </w:p>
    <w:p>
      <w:r>
        <w:t>FR: TAF B-148/2020 du 10 décembre 2020</w:t>
      </w:r>
    </w:p>
    <w:p>
      <w:r>
        <w:t>IT: TAF B-148/2020 del 10 dicembre 2020</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 der Beschwerdeführerin gegeben. Die Beschwerde wurde frist- und formgerecht eingereicht und der verlangte Kostenvorschuss wurde rechtzeitig geleistet (Art. 50 Abs. 1, Art. 52 Abs. 1 und Art. 63 Abs. 4 VwVG). Auf die Beschwerde ist somit einzutreten.</w:t>
      </w:r>
    </w:p>
    <w:p>
      <w:r>
        <w:rPr>
          <w:b/>
        </w:rPr>
        <w:t>E. 2</w:t>
      </w:r>
    </w:p>
    <w:p>
      <w:r>
        <w:t>Die Beschwerdeführerin beantragt, dass die Dispositiv Ziffer 4 des angefochtenen Entscheides über die Verlegung der Kosten aufzuheben sei, sowie dass die Widerspruchsgebühr von den Parteien hälftig zu tragen und die Parteikosten wettzuschlagen seien.</w:t>
      </w:r>
    </w:p>
    <w:p>
      <w:r>
        <w:rPr>
          <w:b/>
        </w:rPr>
        <w:t>E. 3.1</w:t>
      </w:r>
    </w:p>
    <w:p>
      <w:r>
        <w:t>In Bezug auf die Widerspruchsgebühr gilt, dass der Widersprechende die von der Vorinstanz geltend gemachte Widerspruchsgebühr von Fr. 800.- während der Widerspruchsfrist vorzuschiessen hat (Art. 31 Abs. 2 Satz 2 MSchG; Art. 24 Abs. 1 Satz 1 MSchV; Anhang I zu Art. 3 Abs. 1, Verordnung des IGE über Gebühren [GebV-IGE] vom 14. Juni 2016[SR 232.148]). Es handelt sich um eine vom tatsächlichen Aufwand des Verfahrens unabhängige Pauschalgebühr (RKGE, SMI 1996, 309, 313 - Castello/Castelberg; Christoph Gasser, in: Noth Michael, Bühler Gregor, Thouvenin Florent [Hrsg.], Markenschutzgesetz (MSchG), SHK - Stämplis Handkommentar, 2. Aufl. 2017, Art. 33 Rn. 27). Die Widerspruchsgebühren verbleiben beim Institut (Art. 31 MSchG i.V.m. Art. 1 ff. GebV-IGE und Anhang zu Art. 3 Abs. 1 GebV-IGE).</w:t>
      </w:r>
    </w:p>
    <w:p>
      <w:r>
        <w:rPr>
          <w:b/>
        </w:rPr>
        <w:t>E. 3.2</w:t>
      </w:r>
    </w:p>
    <w:p>
      <w:r>
        <w:t>Die Zusprechung der Parteientschädigung erfolgt über die Gesetzesnorm von Art. 34 MSchG, aus welcher die Vorinstanz die Kompetenz entnimmt, die Parteientschädigung im Widerspruchsverfahren wie in einem kontradiktorischen Gerichtsverfahren zuzusprechen (Christoph Gasser, in: Noth Michael, Bühler Gregor, Thouvenin Florent [Hrsg.], Markenschutzgesetz (MSchG), SHK - Stämplis Handkommentar, 2. Aufl., 2017, Art. 34, Rn 1; IGE-Richtlinien, Teil 1, Ziff. 7.3.2.2-7.3.2.4).</w:t>
      </w:r>
    </w:p>
    <w:p>
      <w:r>
        <w:rPr>
          <w:b/>
        </w:rPr>
        <w:t>E. 3.3</w:t>
      </w:r>
    </w:p>
    <w:p>
      <w:r>
        <w:t>In Bezug auf die Anwendung des Verwaltungsverfahrensgesetzes bei der Zusprechung von Parteientschädigung wird die Ansicht vertreten, dass Art. 64 VwVG, wonach im Beschwerdeverfahren der obsiegenden Partei eine Entschädigung für notwendige und verhältnismässig hohe Kosten zuzusprechen sind, ein für das ganze Verwaltungsrecht und somit auch für erstinstanzliche Entscheidungen gültiges Prinzip ausdrücke, von dem nur in Ausnahmefällen abgewichen werden dürfe. Indessen widerspricht diese Ansicht der gesetzlichen Regelung. Sowohl der Wortlaut von Art. 64 VwVG wie auch seine Stellung in der gesetzlichen Systematik machen klar, dass sich diese Bestimmung nur auf das Beschwerdeverfahren bezieht. Hätte der Gesetzgeber eine für das gesamte Verwaltungsverfahren anwendbare Bestimmung über Parteientschädigungen erlassen wollen, so wäre diese im Abschnitt über "Allgemeine Verfahrensgrundsätze" (Art. 7 ff. VwVG) aufgeführt. Dass eine solche Bestimmung aber in diesem Abschnitt fehlt und lediglich im Abschnitt über das Beschwerdeverfahren (Art. 44 ff. VwVG) enthalten ist, kann nichts Anderes bedeuten, als dass Parteientschädigungen im Verwaltungsverfahren grundsätzlich nur für Beschwerdeverfahren vorgesehen sind. Dies wird auch durch die Verordnung über Kosten und Entschädigungen im Verwaltungsverfahren (SR 172.041.0) bestätigt, welche eine Bestimmung über Parteientschädigungen (Art. 8) nur im Abschnitt über Beschwerdeverfahren enthält, während im Abschnitt "Übrige Verfahren" (Art. 11 ff.) kein Hinweis auf Parteientschädigungen vorkommt. Diese allgemeine Regelung im Verwaltungsverfahrensgesetz bestätigt somit, dass die in Art. 34 MSchG vorgesehene Möglichkeit, im Widerspruchsverfahren der unterliegenden Partei Kosten aufzuerlegen, im erstinstanzlichen Verwaltungsverfahren im Bund eine Ausnahme darstellt (zum Ganzen vgl. BGE 132 II 47 E. 5).</w:t>
      </w:r>
    </w:p>
    <w:p>
      <w:r>
        <w:rPr>
          <w:b/>
        </w:rPr>
        <w:t>E. 4</w:t>
      </w:r>
    </w:p>
    <w:p>
      <w:r>
        <w:t>Betreffend die Widerspruchsgebühr schreibt die Vorinstanz in der angefochtenen Verfügung unter "IV. Kostenverteilung" (Ziff. 2, S. 9), diese würde bei einer lediglich teilweisen Gutheissung den Parteien in der Regel je zur Hälfte auferlegt. Die Vorinstanz verweist dabei auf ihre Richtlinien (Teil 1, Ziff. 7.3.2.3.). In Bezug auf die Parteientschädigung führte die Vorinstanz in der Begründung ihrer Verfügung aus, dass die Parteikosten in der Regel wettgeschlagen würden, wenn der Widerspruch teilweise gutgeheissen werde (IV. Kostenverteilung, Ziff. 2, S. 9). Sie verweist dabei auf ihre Richtlinien (Teil 1, Ziff. 7.3.2.3.). Obwohl im vorliegenden Fall eine teilweise Gutheissung vorliegt, hat die Vorinstanz im Dispositiv in Ziffer 4 verfügt, dass die Widerspruchsgegnerin die volle Widerspruchsgebühr und eine volle Parteientschädigung zu bezahlen habe.</w:t>
      </w:r>
    </w:p>
    <w:p>
      <w:r>
        <w:rPr>
          <w:b/>
        </w:rPr>
        <w:t>E. 5.1</w:t>
      </w:r>
    </w:p>
    <w:p>
      <w:r>
        <w:t>In diesem Zusammenhang stellt sich vorab die Frage, ob die Richtlinie der Vorinstanz für das Bundesverwaltungsgericht bindend ist.</w:t>
      </w:r>
    </w:p>
    <w:p>
      <w:r>
        <w:rPr>
          <w:b/>
        </w:rPr>
        <w:t>E. 5.2</w:t>
      </w:r>
    </w:p>
    <w:p>
      <w:r>
        <w:t>Bei den Richtlinien in Markensachen handelt es sich um eine sogenannte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aber insoweit, als sie eine dem Einzelfall gerecht werdende Auslegung der massgebenden Bestimmung zulassen (Urteile des BVGer B-1428/2016 vom 30. August 2017 E. 6.2 "DEUTSCHER FUSSBALL-BUND [fig.]" und B-564/2007 vom 17. Oktober 2007 E. 10.4 [Formmarke]; vgl. auch Ulrich Häfelin/Georg Müller/Felix Uhlmann, Allgemeines Verwaltungsrecht, 5. Auflage, Zürich 2006, Rz. 123; Pierre Tschannen/Ulrich Zimmerli, Allgemeines Verwaltungsrecht, 2. Auflage, Bern 2005, § 44 Rz. 12 ff.).</w:t>
      </w:r>
    </w:p>
    <w:p>
      <w:r>
        <w:rPr>
          <w:b/>
        </w:rPr>
        <w:t>E. 5.3</w:t>
      </w:r>
    </w:p>
    <w:p>
      <w:r>
        <w:t>Die Richtlinie ist daher für das Bundesverwaltungsgericht nicht bindend. Es sind jedoch keine Anhaltspunkte ersichtlich, dass die Richtlinie eine dem Einzelfall gerecht werdende Auslegung der massgebenden Bestimmungen nicht zulassen würde. Insofern wird die Richtlinie der Vorinstanz im vorliegenden Verfahren berücksichtigt.</w:t>
      </w:r>
    </w:p>
    <w:p>
      <w:r>
        <w:rPr>
          <w:b/>
        </w:rPr>
        <w:t>E. 6.1</w:t>
      </w:r>
    </w:p>
    <w:p>
      <w:r>
        <w:t>Die Beschwerdeführerin rügt, die Auferlegung der Kosten durch die Vorinstanz sei willkürlich erfolgt und diese sei ihrer Begründungspflicht gemäss Art. 35 Abs. 1 VwVG nicht genügend nachgekommen.</w:t>
      </w:r>
    </w:p>
    <w:p>
      <w:r>
        <w:rPr>
          <w:b/>
        </w:rPr>
        <w:t>E. 6.2</w:t>
      </w:r>
    </w:p>
    <w:p>
      <w:r>
        <w:t>Die relevanten Bestimmungen der Richtlinie (vgl. E. 4 oben) geben vor, dass die Vorinstanz im Falle eines teilweisen Obsiegens in der Regel die Widerspruchsgebühr den Parteien hälftig auferlegt und die Parteientschädigungen wettgeschlagen werden. Um von diesem Regelfall der hälftigen Auferlegung der Widerspruchsgebühr bzw. des Wettschlagens der Parteikosten abzuweichen, hätte es eines sachlichen Grundes bedurft. Solche sachlichen Gründe hätte die Vorinstanz aufgrund ihrer Begründungspflicht im Entscheid darlegen müssen. Sachliche Kriterien, aufgrund welchen sich die Vorinstanz gegen die Praxis der hälftigen Kostenauferlegung entschied, sind jedoch aus der angefochtenen Verfügung und der Vernehmlassung der Vorinstanz keine zu entnehmen, abgesehen vom Hinweis, die widersprechende Partei sei mit ihren Begehren "mehrheitlich" durchgedrungen ("IV. Kostenverteilung", Randziffer 4). Die Begründung "mehrheitlich" reicht nicht aus, um eine Abweichung vom Regelfall bzw. von ihrer Praxis bei teilweisem Obsiegen zu rechtfertigen. Die Auferlegung sämtlicher Kosten bei teilweisem Obsiegen könnte allenfalls dann in Betracht gezogen werden, wenn das teilweise Obsiegen einem vollständigen Obsiegen nahekommt. Dass ein solcher Fall vorliegt, ist aus den Akten nicht ersichtlich und wurde auch von der Vorinstanz nicht substantiiert. Die Beschwerdegegnerin erläutert, dass in anderen Verfahren, in welchen auf eine teilweise Gutheissung des Widerspruchs erkannt wurde, die Kosten ebenfalls nicht hälftig verteilt und die Parteientschädigungen ebenfalls nicht wettgeschlagen wurden. Dass die Vorinstanz hierzu allenfalls eine uneinheitliche Praxis betreibt ändert indes nichts an der Tatsache, dass gemäss Richtlinie ein sachlicher Grund für eine von den Grundsätzen der Kostenverteilung abweichende Regelung vorliegen und dieser sachlicher Grund aufgrund der Begründungspflicht der Vorinstanz auch erwähnt und im Entscheid ausgeführt werden muss. Da vorliegend kein solcher sachlicher Grund ersichtlich ist und die Vorinstanz auch keinen darlegt, hat sie die Kosten und Parteientschädigungen nicht rechtmässig verlegt.</w:t>
      </w:r>
    </w:p>
    <w:p>
      <w:r>
        <w:rPr>
          <w:b/>
        </w:rPr>
        <w:t>E. 7</w:t>
      </w:r>
    </w:p>
    <w:p>
      <w:r>
        <w:t>Demnach ist die Beschwerde gutzuheissen und die Dispositiv-Ziffer 4 der vorinstanzlichen Verfügung aufzuheben, die Parteikosten des vorinstanzlichen Verfahrens sind wettzuschlagen und die Widerspruchsgebühr ist von den Parteien je hälftig zu tragen.</w:t>
      </w:r>
    </w:p>
    <w:p>
      <w:r>
        <w:rPr>
          <w:b/>
        </w:rPr>
        <w:t>E. 8.1</w:t>
      </w:r>
    </w:p>
    <w:p>
      <w:r>
        <w:t>Bei diesem Verfahrensausgang wird die Beschwerdegegnerin als unterliegende Partei kostenpflichtig (Art. 63 Abs. 1 VwVG). Die Höhe der Spruchgebühr bemisst sich nach dem Umfang und der Schwierigkeit der Streitsache, der Art der Prozessführung und der finanziellen Lage der Parteien (Art. 63 Abs. 4bis VwVG, Art. 2 Abs. 1 des Reglements vom 21. Februar 2008 über die Kosten und Entschädigungen vor dem Bundesverwaltungsgericht [VGKE, SR 73.320.2]). Es handelt sich um eine Streitsache mit Vermögensinteresse (Art. 63 Abs. 4 bis Bst. b VwVG, Art. 4 VGKE). Im vorliegenden Fall geht es um den Streitwert von Fr. 3'200.-. Aufgrund des vorliegenden Streitwerts sind die Verfahrenskosten auf Fr. 500.- festzusetzen. Der Vorinstanz sind keine Verfahrenskosten aufzuerlegen (Art. 63 Abs. 2 VwVG). Der von der Beschwerdeführerin geleistete Kostenvorschuss in gleicher Höhe ist ihr zurückzuerstatten.</w:t>
      </w:r>
    </w:p>
    <w:p>
      <w:r>
        <w:rPr>
          <w:b/>
        </w:rPr>
        <w:t>E. 8.2</w:t>
      </w:r>
    </w:p>
    <w:p>
      <w:r>
        <w:t>Der obsiegenden Beschwerdeführerin kann zudem von Amtes wegen oder auf Begehren eine Entschädigung für die ihr erwachsenen notwendigen und verhältnismässigen hohen Kosten zugesprochen werden (Art. 64 Abs. 1 VwVG i.V.m. Art. 7 Abs. 1 VKGE). Die Parteientschädigung umfasst die Kosten der Vertretung sowie allfällige weitere notwendige Auslagen der Partei (Art. 8 VGKE). Gemäss Art. 14 Abs. 1 und 2 VGKE ist sie aufgrund einer detaillierten Kostennote festzusetzen. Vorliegend hat die Beschwerdeführerin Parteientschädigung beantragt, ohne eine Kostennote einzureichen, weshalb der Aufwand aufgrund der Akten zu bestimmen ist. Die Aktenlage weist insgesamt keine hohe Komplexität der Materie auf uns lässt unter Berücksichtigung der massgebenden Berechnungsfaktoren (Art. 8, 9, 11 VGKE) eine Parteientschädigung von pauschal 1'500.-- als angemessen erscheinen.</w:t>
      </w:r>
    </w:p>
    <w:p>
      <w:r>
        <w:rPr>
          <w:b/>
        </w:rPr>
        <w:t>E. 9</w:t>
      </w:r>
    </w:p>
    <w:p>
      <w:r>
        <w:t>Gegen dieses Urteil steht keine Beschwerde an das Bundesgericht offen (Art. 73 des Bundesgesetzes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